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sz w:val="40"/>
          <w:szCs w:val="48"/>
        </w:rPr>
      </w:pPr>
    </w:p>
    <w:p>
      <w:pPr>
        <w:adjustRightInd w:val="0"/>
        <w:snapToGrid w:val="0"/>
        <w:jc w:val="center"/>
        <w:rPr>
          <w:sz w:val="40"/>
          <w:szCs w:val="48"/>
        </w:rPr>
      </w:pPr>
    </w:p>
    <w:p>
      <w:pPr>
        <w:adjustRightInd w:val="0"/>
        <w:snapToGrid w:val="0"/>
        <w:jc w:val="center"/>
        <w:rPr>
          <w:sz w:val="40"/>
          <w:szCs w:val="48"/>
        </w:rPr>
      </w:pPr>
    </w:p>
    <w:p>
      <w:pPr>
        <w:pStyle w:val="5"/>
      </w:pPr>
    </w:p>
    <w:p>
      <w:pPr>
        <w:adjustRightInd w:val="0"/>
        <w:snapToGrid w:val="0"/>
        <w:spacing w:line="360" w:lineRule="auto"/>
        <w:jc w:val="center"/>
        <w:rPr>
          <w:b/>
          <w:bCs/>
          <w:sz w:val="56"/>
          <w:szCs w:val="96"/>
        </w:rPr>
      </w:pPr>
      <w:r>
        <w:rPr>
          <w:rFonts w:hint="eastAsia"/>
          <w:b/>
          <w:bCs/>
          <w:sz w:val="56"/>
          <w:szCs w:val="96"/>
        </w:rPr>
        <w:t>深圳市科学馆探索展厅更新改造设计及服务招标公告</w:t>
      </w:r>
    </w:p>
    <w:p>
      <w:pPr>
        <w:adjustRightInd w:val="0"/>
        <w:snapToGrid w:val="0"/>
        <w:jc w:val="center"/>
        <w:rPr>
          <w:sz w:val="40"/>
          <w:szCs w:val="48"/>
        </w:rPr>
      </w:pPr>
    </w:p>
    <w:p>
      <w:pPr>
        <w:pStyle w:val="14"/>
        <w:adjustRightInd w:val="0"/>
        <w:snapToGrid w:val="0"/>
        <w:spacing w:after="0"/>
        <w:ind w:left="0" w:leftChars="0" w:firstLine="0" w:firstLineChars="0"/>
        <w:rPr>
          <w:sz w:val="40"/>
          <w:szCs w:val="48"/>
        </w:rPr>
      </w:pPr>
    </w:p>
    <w:p>
      <w:pPr>
        <w:pStyle w:val="14"/>
        <w:adjustRightInd w:val="0"/>
        <w:snapToGrid w:val="0"/>
        <w:spacing w:after="0"/>
        <w:ind w:left="0" w:leftChars="0" w:firstLine="0" w:firstLineChars="0"/>
        <w:rPr>
          <w:sz w:val="40"/>
          <w:szCs w:val="48"/>
        </w:rPr>
      </w:pPr>
    </w:p>
    <w:p>
      <w:pPr>
        <w:pStyle w:val="14"/>
        <w:adjustRightInd w:val="0"/>
        <w:snapToGrid w:val="0"/>
        <w:spacing w:after="0"/>
        <w:ind w:left="0" w:leftChars="0" w:firstLine="0" w:firstLineChars="0"/>
        <w:rPr>
          <w:sz w:val="40"/>
          <w:szCs w:val="48"/>
        </w:rPr>
      </w:pPr>
    </w:p>
    <w:p>
      <w:pPr>
        <w:pStyle w:val="14"/>
        <w:adjustRightInd w:val="0"/>
        <w:snapToGrid w:val="0"/>
        <w:spacing w:after="0"/>
        <w:ind w:left="0" w:leftChars="0" w:firstLine="0" w:firstLineChars="0"/>
        <w:rPr>
          <w:sz w:val="40"/>
          <w:szCs w:val="48"/>
        </w:rPr>
      </w:pPr>
    </w:p>
    <w:p>
      <w:pPr>
        <w:pStyle w:val="14"/>
        <w:adjustRightInd w:val="0"/>
        <w:snapToGrid w:val="0"/>
        <w:spacing w:after="0"/>
        <w:ind w:left="0" w:leftChars="0" w:firstLine="0" w:firstLineChars="0"/>
        <w:rPr>
          <w:sz w:val="40"/>
          <w:szCs w:val="48"/>
        </w:rPr>
      </w:pPr>
    </w:p>
    <w:p>
      <w:pPr>
        <w:pStyle w:val="14"/>
        <w:adjustRightInd w:val="0"/>
        <w:snapToGrid w:val="0"/>
        <w:spacing w:after="0"/>
        <w:ind w:left="0" w:leftChars="0" w:firstLine="0" w:firstLineChars="0"/>
        <w:rPr>
          <w:sz w:val="40"/>
          <w:szCs w:val="48"/>
        </w:rPr>
      </w:pPr>
    </w:p>
    <w:p>
      <w:pPr>
        <w:pStyle w:val="14"/>
        <w:adjustRightInd w:val="0"/>
        <w:snapToGrid w:val="0"/>
        <w:spacing w:after="0"/>
        <w:ind w:left="0" w:leftChars="0" w:firstLine="0" w:firstLineChars="0"/>
        <w:rPr>
          <w:sz w:val="40"/>
          <w:szCs w:val="48"/>
        </w:rPr>
      </w:pPr>
    </w:p>
    <w:p>
      <w:pPr>
        <w:pStyle w:val="14"/>
        <w:adjustRightInd w:val="0"/>
        <w:snapToGrid w:val="0"/>
        <w:spacing w:after="0"/>
        <w:ind w:left="0" w:leftChars="0" w:firstLine="0" w:firstLineChars="0"/>
        <w:rPr>
          <w:sz w:val="40"/>
          <w:szCs w:val="48"/>
        </w:rPr>
      </w:pPr>
    </w:p>
    <w:p>
      <w:pPr>
        <w:pStyle w:val="14"/>
        <w:adjustRightInd w:val="0"/>
        <w:snapToGrid w:val="0"/>
        <w:spacing w:after="0"/>
        <w:ind w:left="0" w:leftChars="0" w:firstLine="0" w:firstLineChars="0"/>
        <w:rPr>
          <w:sz w:val="40"/>
          <w:szCs w:val="48"/>
        </w:rPr>
      </w:pPr>
    </w:p>
    <w:p>
      <w:pPr>
        <w:pStyle w:val="14"/>
        <w:adjustRightInd w:val="0"/>
        <w:snapToGrid w:val="0"/>
        <w:spacing w:after="0"/>
        <w:ind w:left="0" w:leftChars="0" w:firstLine="0" w:firstLineChars="0"/>
        <w:rPr>
          <w:sz w:val="40"/>
          <w:szCs w:val="48"/>
        </w:rPr>
      </w:pPr>
    </w:p>
    <w:p>
      <w:pPr>
        <w:pStyle w:val="14"/>
        <w:adjustRightInd w:val="0"/>
        <w:snapToGrid w:val="0"/>
        <w:spacing w:after="0" w:line="360" w:lineRule="auto"/>
        <w:ind w:left="0" w:leftChars="0" w:firstLine="0" w:firstLineChars="0"/>
        <w:jc w:val="center"/>
        <w:rPr>
          <w:b/>
          <w:bCs/>
          <w:sz w:val="48"/>
          <w:szCs w:val="56"/>
        </w:rPr>
      </w:pPr>
      <w:r>
        <w:rPr>
          <w:rFonts w:hint="eastAsia"/>
          <w:b/>
          <w:bCs/>
          <w:sz w:val="48"/>
          <w:szCs w:val="56"/>
        </w:rPr>
        <w:t>深圳市科学馆</w:t>
      </w:r>
    </w:p>
    <w:p>
      <w:pPr>
        <w:pStyle w:val="14"/>
        <w:adjustRightInd w:val="0"/>
        <w:snapToGrid w:val="0"/>
        <w:spacing w:after="0" w:line="360" w:lineRule="auto"/>
        <w:ind w:left="0" w:leftChars="0" w:firstLine="0" w:firstLineChars="0"/>
        <w:jc w:val="center"/>
        <w:rPr>
          <w:b/>
          <w:bCs/>
          <w:sz w:val="32"/>
          <w:szCs w:val="40"/>
        </w:rPr>
      </w:pPr>
      <w:r>
        <w:rPr>
          <w:rFonts w:hint="eastAsia"/>
          <w:b/>
          <w:bCs/>
          <w:sz w:val="32"/>
          <w:szCs w:val="40"/>
        </w:rPr>
        <w:t>二零二一年</w:t>
      </w:r>
      <w:r>
        <w:rPr>
          <w:rFonts w:hint="eastAsia"/>
          <w:b/>
          <w:bCs/>
          <w:sz w:val="32"/>
          <w:szCs w:val="40"/>
          <w:lang w:val="en-US" w:eastAsia="zh-CN"/>
        </w:rPr>
        <w:t>八</w:t>
      </w:r>
      <w:r>
        <w:rPr>
          <w:rFonts w:hint="eastAsia"/>
          <w:b/>
          <w:bCs/>
          <w:sz w:val="32"/>
          <w:szCs w:val="40"/>
        </w:rPr>
        <w:t>月</w:t>
      </w:r>
    </w:p>
    <w:p>
      <w:pPr>
        <w:rPr>
          <w:sz w:val="40"/>
          <w:szCs w:val="48"/>
        </w:rPr>
      </w:pPr>
      <w:r>
        <w:rPr>
          <w:sz w:val="40"/>
          <w:szCs w:val="48"/>
        </w:rPr>
        <w:br w:type="page"/>
      </w:r>
    </w:p>
    <w:p>
      <w:pPr>
        <w:autoSpaceDE w:val="0"/>
        <w:autoSpaceDN w:val="0"/>
        <w:adjustRightInd w:val="0"/>
        <w:spacing w:line="360" w:lineRule="auto"/>
        <w:jc w:val="center"/>
        <w:rPr>
          <w:rFonts w:ascii="宋体" w:hAnsi="宋体" w:cs="仿宋_GB2312"/>
          <w:b/>
          <w:kern w:val="0"/>
          <w:szCs w:val="21"/>
        </w:rPr>
      </w:pPr>
      <w:r>
        <w:rPr>
          <w:rFonts w:hint="eastAsia" w:ascii="宋体" w:hAnsi="宋体" w:cs="仿宋_GB2312"/>
          <w:b/>
          <w:bCs/>
          <w:kern w:val="0"/>
          <w:sz w:val="28"/>
          <w:szCs w:val="28"/>
        </w:rPr>
        <w:t>特别警示条款</w:t>
      </w:r>
    </w:p>
    <w:p>
      <w:pPr>
        <w:autoSpaceDE w:val="0"/>
        <w:autoSpaceDN w:val="0"/>
        <w:adjustRightInd w:val="0"/>
        <w:spacing w:line="360" w:lineRule="auto"/>
        <w:jc w:val="center"/>
        <w:rPr>
          <w:rFonts w:ascii="仿宋" w:hAnsi="仿宋" w:eastAsia="仿宋" w:cs="仿宋"/>
          <w:b/>
          <w:kern w:val="0"/>
          <w:sz w:val="28"/>
          <w:szCs w:val="28"/>
        </w:rPr>
      </w:pPr>
      <w:r>
        <w:rPr>
          <w:rFonts w:hint="eastAsia" w:ascii="仿宋" w:hAnsi="仿宋" w:eastAsia="仿宋" w:cs="仿宋"/>
          <w:b/>
          <w:kern w:val="0"/>
          <w:sz w:val="28"/>
          <w:szCs w:val="28"/>
        </w:rPr>
        <w:t>《深圳经济特区政府采购条例》</w:t>
      </w:r>
    </w:p>
    <w:p>
      <w:pPr>
        <w:autoSpaceDE w:val="0"/>
        <w:autoSpaceDN w:val="0"/>
        <w:adjustRightInd w:val="0"/>
        <w:spacing w:line="360" w:lineRule="auto"/>
        <w:ind w:firstLine="562" w:firstLineChars="200"/>
        <w:jc w:val="left"/>
        <w:rPr>
          <w:rFonts w:ascii="仿宋" w:hAnsi="仿宋" w:eastAsia="仿宋" w:cs="仿宋"/>
          <w:color w:val="040404"/>
          <w:sz w:val="28"/>
          <w:szCs w:val="28"/>
        </w:rPr>
      </w:pPr>
      <w:r>
        <w:rPr>
          <w:rStyle w:val="17"/>
          <w:rFonts w:hint="eastAsia" w:ascii="仿宋" w:hAnsi="仿宋" w:eastAsia="仿宋" w:cs="仿宋"/>
          <w:color w:val="040404"/>
          <w:sz w:val="28"/>
          <w:szCs w:val="28"/>
        </w:rPr>
        <w:t>第五十七条</w:t>
      </w:r>
      <w:r>
        <w:rPr>
          <w:rFonts w:hint="eastAsia" w:ascii="仿宋" w:hAnsi="仿宋" w:eastAsia="仿宋" w:cs="仿宋"/>
          <w:color w:val="040404"/>
          <w:sz w:val="28"/>
          <w:szCs w:val="28"/>
        </w:rPr>
        <w:t>供应商在政府采购中，有下列行为之一的，一至三年内禁止其参与本市政府采购，并由主管部门记入供应商诚信档案，处采购金额千分之十以上千分之二十以下罚款；情节严重的，取消其参与本市政府采购资格，处采购金额千分之二十以上千分之三十以下罚款，并由市场监管部门依法吊销其营业执照；给他人造成损失的，依法承担赔偿责任；构成犯罪的，依法追究刑事责任：</w:t>
      </w:r>
    </w:p>
    <w:p>
      <w:pPr>
        <w:pStyle w:val="13"/>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（一）在采购活动中应当回避而未回避的；</w:t>
      </w:r>
    </w:p>
    <w:p>
      <w:pPr>
        <w:pStyle w:val="13"/>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（二）未按照本条例规定签订、履行采购合同，造成严重后果的；</w:t>
      </w:r>
    </w:p>
    <w:p>
      <w:pPr>
        <w:pStyle w:val="13"/>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（三）隐瞒真实情况，提供虚假资料的；</w:t>
      </w:r>
    </w:p>
    <w:p>
      <w:pPr>
        <w:pStyle w:val="13"/>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（四）以非法手段排斥其他供应商参与竞争的；</w:t>
      </w:r>
    </w:p>
    <w:p>
      <w:pPr>
        <w:pStyle w:val="13"/>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（五）与其他采购参加人串通投标的；</w:t>
      </w:r>
    </w:p>
    <w:p>
      <w:pPr>
        <w:pStyle w:val="13"/>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（六）恶意投诉的；</w:t>
      </w:r>
    </w:p>
    <w:p>
      <w:pPr>
        <w:pStyle w:val="13"/>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（七）向采购项目相关人行贿或者提供其他不当利益的；</w:t>
      </w:r>
    </w:p>
    <w:p>
      <w:pPr>
        <w:pStyle w:val="13"/>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（八）阻碍、抗拒主管部门监督检查的；</w:t>
      </w:r>
    </w:p>
    <w:p>
      <w:pPr>
        <w:pStyle w:val="13"/>
        <w:shd w:val="clear" w:color="auto" w:fill="FFFFFF"/>
        <w:ind w:firstLine="560" w:firstLineChars="200"/>
        <w:rPr>
          <w:rFonts w:ascii="仿宋" w:hAnsi="仿宋" w:eastAsia="仿宋" w:cs="仿宋"/>
          <w:kern w:val="0"/>
          <w:sz w:val="28"/>
          <w:szCs w:val="28"/>
        </w:rPr>
      </w:pPr>
      <w:r>
        <w:rPr>
          <w:rFonts w:hint="eastAsia" w:ascii="仿宋" w:hAnsi="仿宋" w:eastAsia="仿宋" w:cs="仿宋"/>
          <w:color w:val="040404"/>
          <w:sz w:val="28"/>
          <w:szCs w:val="28"/>
        </w:rPr>
        <w:t>（九）其他违反本条例规定的行为。</w:t>
      </w:r>
    </w:p>
    <w:p>
      <w:pPr>
        <w:autoSpaceDE w:val="0"/>
        <w:autoSpaceDN w:val="0"/>
        <w:adjustRightInd w:val="0"/>
        <w:spacing w:line="360" w:lineRule="auto"/>
        <w:jc w:val="center"/>
        <w:rPr>
          <w:rFonts w:ascii="仿宋" w:hAnsi="仿宋" w:eastAsia="仿宋" w:cs="仿宋"/>
          <w:b/>
          <w:kern w:val="0"/>
          <w:sz w:val="28"/>
          <w:szCs w:val="28"/>
        </w:rPr>
      </w:pPr>
      <w:r>
        <w:rPr>
          <w:rFonts w:hint="eastAsia" w:ascii="仿宋" w:hAnsi="仿宋" w:eastAsia="仿宋" w:cs="仿宋"/>
          <w:b/>
          <w:kern w:val="0"/>
          <w:sz w:val="28"/>
          <w:szCs w:val="28"/>
        </w:rPr>
        <w:t>《深圳经济特区政府采购条例实施细则》</w:t>
      </w:r>
    </w:p>
    <w:p>
      <w:pPr>
        <w:keepLines/>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第七十六条</w:t>
      </w:r>
      <w:r>
        <w:rPr>
          <w:rFonts w:hint="eastAsia" w:ascii="仿宋" w:hAnsi="仿宋" w:eastAsia="仿宋" w:cs="仿宋"/>
          <w:sz w:val="28"/>
          <w:szCs w:val="28"/>
        </w:rPr>
        <w:t>供应商有下列行为之一的，由主管部门记入供应商诚信档案并作出以下处罚：</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keepLines/>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第七十七条</w:t>
      </w:r>
      <w:r>
        <w:rPr>
          <w:rFonts w:hint="eastAsia" w:ascii="仿宋" w:hAnsi="仿宋" w:eastAsia="仿宋" w:cs="仿宋"/>
          <w:sz w:val="28"/>
          <w:szCs w:val="28"/>
        </w:rPr>
        <w:t>供应商有下列行为之一的，属于情节严重，由市场监管部门依法吊销其营业执照，主管部门取消其参与本市政府采购的资格，并作出以下处罚：</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keepLines/>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第七十九条</w:t>
      </w:r>
      <w:r>
        <w:rPr>
          <w:rFonts w:hint="eastAsia" w:ascii="仿宋" w:hAnsi="仿宋" w:eastAsia="仿宋" w:cs="仿宋"/>
          <w:sz w:val="28"/>
          <w:szCs w:val="28"/>
        </w:rPr>
        <w:t>供应商有下列情形的，属于采购条例所称的串通投标行为，按照采购条例第五十七条有关规定处理：</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（一）投标供应商之间相互约定给予未中标的供应商利益补偿；</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（二）不同投标供应商的法定代表人、主要经营负责人、项目投标授权代表人、项目负责人、主要技术人员为同一人、属同一单位或者在同一单位缴纳社会保险；</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（三）不同投标供应商的投标文件由同一单位或者同一人编制，或者由同一人分阶段参与编制的；</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（四）不同投标供应商的投标文件或部分投标文件相互混装；</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（五）不同投标供应商的投标文件内容存在非正常一致；</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（六）由同一单位工作人员为两家以上（含两家）供应商进行同一项投标活动的；</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（七）主管部门依照法律、法规认定的其他情形。</w:t>
      </w:r>
    </w:p>
    <w:p>
      <w:pPr>
        <w:keepLines/>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第八十一条</w:t>
      </w:r>
      <w:r>
        <w:rPr>
          <w:rFonts w:hint="eastAsia" w:ascii="仿宋" w:hAnsi="仿宋" w:eastAsia="仿宋" w:cs="仿宋"/>
          <w:sz w:val="28"/>
          <w:szCs w:val="28"/>
        </w:rPr>
        <w:t>供应商有下列情形之一的，属于隐瞒真实情况，提供虚假资料，按照采购条例第五十七的有关规定处理：</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（一）通过转让或者租借等方式从其他单位获取资格或者资质证书投标的；</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（二）由其他单位或者其他单位负责人在投标供应商编制的投标文件上加盖印章或者签字的；</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（三）项目负责人或者主要技术人员不是本单位人员的；</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（四）投标保证金不是从投标供应商基本账户转出的；</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（五）其他隐瞒真实情况、提供虚假资料的行为。</w:t>
      </w:r>
    </w:p>
    <w:p>
      <w:pPr>
        <w:jc w:val="left"/>
        <w:rPr>
          <w:rFonts w:ascii="仿宋" w:hAnsi="仿宋" w:eastAsia="仿宋" w:cs="仿宋"/>
          <w:sz w:val="28"/>
          <w:szCs w:val="28"/>
        </w:rPr>
      </w:pPr>
      <w:r>
        <w:rPr>
          <w:rFonts w:hint="eastAsia" w:ascii="仿宋" w:hAnsi="仿宋" w:eastAsia="仿宋" w:cs="仿宋"/>
          <w:sz w:val="28"/>
          <w:szCs w:val="28"/>
        </w:rPr>
        <w:t>投标供应商不能提供项目负责人或者主要技术人员的劳动合同、社会保险等劳动关系证明材料的，视为存在前款第（三）项规定的情形。</w:t>
      </w:r>
    </w:p>
    <w:p>
      <w:pPr>
        <w:rPr>
          <w:sz w:val="40"/>
          <w:szCs w:val="48"/>
        </w:rPr>
      </w:pPr>
      <w:r>
        <w:rPr>
          <w:sz w:val="40"/>
          <w:szCs w:val="48"/>
        </w:rPr>
        <w:br w:type="page"/>
      </w:r>
    </w:p>
    <w:p>
      <w:pPr>
        <w:jc w:val="center"/>
        <w:rPr>
          <w:sz w:val="40"/>
          <w:szCs w:val="48"/>
        </w:rPr>
      </w:pPr>
      <w:r>
        <w:rPr>
          <w:rFonts w:hint="eastAsia"/>
          <w:sz w:val="40"/>
          <w:szCs w:val="48"/>
        </w:rPr>
        <w:t>目  录</w:t>
      </w:r>
    </w:p>
    <w:p>
      <w:pPr>
        <w:pStyle w:val="5"/>
        <w:ind w:firstLine="0"/>
        <w:rPr>
          <w:sz w:val="40"/>
          <w:szCs w:val="48"/>
        </w:rPr>
      </w:pPr>
    </w:p>
    <w:p>
      <w:pPr>
        <w:pStyle w:val="6"/>
      </w:pPr>
    </w:p>
    <w:p>
      <w:pPr>
        <w:pStyle w:val="5"/>
        <w:numPr>
          <w:ilvl w:val="0"/>
          <w:numId w:val="1"/>
        </w:numPr>
        <w:jc w:val="left"/>
        <w:rPr>
          <w:rFonts w:ascii="仿宋" w:hAnsi="仿宋" w:eastAsia="仿宋" w:cs="仿宋"/>
          <w:sz w:val="32"/>
          <w:szCs w:val="32"/>
        </w:rPr>
      </w:pPr>
      <w:r>
        <w:rPr>
          <w:rFonts w:hint="eastAsia" w:ascii="仿宋" w:hAnsi="仿宋" w:eastAsia="仿宋" w:cs="仿宋"/>
          <w:sz w:val="32"/>
          <w:szCs w:val="32"/>
        </w:rPr>
        <w:t>概况</w:t>
      </w:r>
    </w:p>
    <w:p>
      <w:pPr>
        <w:pStyle w:val="6"/>
        <w:numPr>
          <w:ilvl w:val="0"/>
          <w:numId w:val="1"/>
        </w:numPr>
        <w:jc w:val="left"/>
        <w:rPr>
          <w:rFonts w:ascii="仿宋" w:hAnsi="仿宋" w:eastAsia="仿宋" w:cs="仿宋"/>
          <w:bCs w:val="0"/>
          <w:sz w:val="32"/>
          <w:szCs w:val="32"/>
        </w:rPr>
      </w:pPr>
      <w:r>
        <w:rPr>
          <w:rFonts w:hint="eastAsia" w:ascii="仿宋" w:hAnsi="仿宋" w:eastAsia="仿宋" w:cs="仿宋"/>
          <w:bCs w:val="0"/>
          <w:sz w:val="32"/>
          <w:szCs w:val="32"/>
        </w:rPr>
        <w:t>招标内容</w:t>
      </w:r>
    </w:p>
    <w:p>
      <w:pPr>
        <w:numPr>
          <w:ilvl w:val="0"/>
          <w:numId w:val="1"/>
        </w:numPr>
        <w:jc w:val="left"/>
        <w:rPr>
          <w:rFonts w:ascii="仿宋" w:hAnsi="仿宋" w:eastAsia="仿宋" w:cs="仿宋"/>
          <w:sz w:val="32"/>
          <w:szCs w:val="32"/>
        </w:rPr>
      </w:pPr>
      <w:r>
        <w:rPr>
          <w:rFonts w:hint="eastAsia" w:ascii="仿宋" w:hAnsi="仿宋" w:eastAsia="仿宋" w:cs="仿宋"/>
          <w:sz w:val="32"/>
          <w:szCs w:val="32"/>
        </w:rPr>
        <w:t>投标文件的编制</w:t>
      </w:r>
    </w:p>
    <w:p>
      <w:pPr>
        <w:numPr>
          <w:ilvl w:val="0"/>
          <w:numId w:val="1"/>
        </w:numPr>
        <w:jc w:val="left"/>
        <w:rPr>
          <w:rFonts w:ascii="仿宋" w:hAnsi="仿宋" w:eastAsia="仿宋" w:cs="仿宋"/>
          <w:sz w:val="32"/>
          <w:szCs w:val="32"/>
        </w:rPr>
      </w:pPr>
      <w:r>
        <w:rPr>
          <w:rFonts w:hint="eastAsia" w:ascii="仿宋" w:hAnsi="仿宋" w:eastAsia="仿宋" w:cs="仿宋"/>
          <w:sz w:val="32"/>
          <w:szCs w:val="32"/>
        </w:rPr>
        <w:t>时间安排</w:t>
      </w:r>
    </w:p>
    <w:p>
      <w:pPr>
        <w:pStyle w:val="5"/>
        <w:numPr>
          <w:ilvl w:val="0"/>
          <w:numId w:val="1"/>
        </w:numPr>
        <w:jc w:val="left"/>
        <w:rPr>
          <w:rFonts w:ascii="仿宋" w:hAnsi="仿宋" w:eastAsia="仿宋" w:cs="仿宋"/>
          <w:sz w:val="32"/>
          <w:szCs w:val="32"/>
        </w:rPr>
      </w:pPr>
      <w:r>
        <w:rPr>
          <w:rFonts w:hint="eastAsia" w:ascii="仿宋" w:hAnsi="仿宋" w:eastAsia="仿宋" w:cs="仿宋"/>
          <w:sz w:val="32"/>
          <w:szCs w:val="32"/>
        </w:rPr>
        <w:t>评审、定标、公示</w:t>
      </w:r>
    </w:p>
    <w:p>
      <w:pPr>
        <w:pStyle w:val="6"/>
        <w:numPr>
          <w:ilvl w:val="0"/>
          <w:numId w:val="1"/>
        </w:numPr>
        <w:jc w:val="left"/>
        <w:rPr>
          <w:rFonts w:ascii="仿宋" w:hAnsi="仿宋" w:eastAsia="仿宋" w:cs="仿宋"/>
          <w:bCs w:val="0"/>
          <w:sz w:val="32"/>
          <w:szCs w:val="32"/>
        </w:rPr>
      </w:pPr>
      <w:r>
        <w:rPr>
          <w:rFonts w:hint="eastAsia" w:ascii="仿宋" w:hAnsi="仿宋" w:eastAsia="仿宋" w:cs="仿宋"/>
          <w:bCs w:val="0"/>
          <w:sz w:val="32"/>
          <w:szCs w:val="32"/>
        </w:rPr>
        <w:t>质疑与投诉</w:t>
      </w:r>
    </w:p>
    <w:p>
      <w:pPr>
        <w:numPr>
          <w:ilvl w:val="0"/>
          <w:numId w:val="1"/>
        </w:numPr>
        <w:jc w:val="left"/>
        <w:rPr>
          <w:rFonts w:ascii="仿宋" w:hAnsi="仿宋" w:eastAsia="仿宋" w:cs="仿宋"/>
          <w:sz w:val="32"/>
          <w:szCs w:val="32"/>
        </w:rPr>
      </w:pPr>
      <w:r>
        <w:rPr>
          <w:rFonts w:hint="eastAsia" w:ascii="仿宋" w:hAnsi="仿宋" w:eastAsia="仿宋" w:cs="仿宋"/>
          <w:sz w:val="32"/>
          <w:szCs w:val="32"/>
        </w:rPr>
        <w:t>合同、付款和验收</w:t>
      </w:r>
    </w:p>
    <w:p>
      <w:pPr>
        <w:pStyle w:val="5"/>
        <w:numPr>
          <w:ilvl w:val="0"/>
          <w:numId w:val="1"/>
        </w:numPr>
        <w:jc w:val="left"/>
        <w:rPr>
          <w:rFonts w:ascii="仿宋" w:hAnsi="仿宋" w:eastAsia="仿宋" w:cs="仿宋"/>
          <w:sz w:val="32"/>
          <w:szCs w:val="32"/>
        </w:rPr>
      </w:pPr>
      <w:r>
        <w:rPr>
          <w:rFonts w:hint="eastAsia" w:ascii="仿宋" w:hAnsi="仿宋" w:eastAsia="仿宋" w:cs="仿宋"/>
          <w:sz w:val="32"/>
          <w:szCs w:val="32"/>
        </w:rPr>
        <w:t>保留权利</w:t>
      </w:r>
    </w:p>
    <w:p>
      <w:pPr>
        <w:pStyle w:val="6"/>
        <w:numPr>
          <w:ilvl w:val="0"/>
          <w:numId w:val="1"/>
        </w:numPr>
        <w:jc w:val="left"/>
        <w:rPr>
          <w:rFonts w:ascii="仿宋" w:hAnsi="仿宋" w:eastAsia="仿宋" w:cs="仿宋"/>
          <w:bCs w:val="0"/>
          <w:sz w:val="32"/>
          <w:szCs w:val="32"/>
        </w:rPr>
      </w:pPr>
      <w:r>
        <w:rPr>
          <w:rFonts w:hint="eastAsia" w:ascii="仿宋" w:hAnsi="仿宋" w:eastAsia="仿宋" w:cs="仿宋"/>
          <w:bCs w:val="0"/>
          <w:sz w:val="32"/>
          <w:szCs w:val="32"/>
        </w:rPr>
        <w:t>附件</w:t>
      </w:r>
    </w:p>
    <w:p>
      <w:r>
        <w:br w:type="page"/>
      </w:r>
    </w:p>
    <w:p>
      <w:pPr>
        <w:numPr>
          <w:ilvl w:val="0"/>
          <w:numId w:val="2"/>
        </w:numPr>
        <w:adjustRightInd w:val="0"/>
        <w:snapToGrid w:val="0"/>
        <w:spacing w:line="360" w:lineRule="auto"/>
        <w:ind w:firstLine="482" w:firstLineChars="200"/>
        <w:jc w:val="center"/>
        <w:rPr>
          <w:rFonts w:ascii="宋体" w:hAnsi="宋体" w:eastAsia="宋体" w:cs="宋体"/>
          <w:b/>
          <w:bCs/>
          <w:sz w:val="24"/>
        </w:rPr>
      </w:pPr>
      <w:r>
        <w:rPr>
          <w:rFonts w:hint="eastAsia" w:ascii="宋体" w:hAnsi="宋体" w:eastAsia="宋体" w:cs="宋体"/>
          <w:b/>
          <w:bCs/>
          <w:sz w:val="24"/>
        </w:rPr>
        <w:t>概况</w:t>
      </w:r>
    </w:p>
    <w:p>
      <w:pPr>
        <w:pStyle w:val="6"/>
        <w:adjustRightInd w:val="0"/>
        <w:snapToGrid w:val="0"/>
        <w:ind w:firstLine="480" w:firstLineChars="200"/>
        <w:rPr>
          <w:rFonts w:ascii="宋体" w:hAnsi="宋体" w:eastAsia="宋体" w:cs="宋体"/>
          <w:sz w:val="24"/>
        </w:rPr>
      </w:pP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为进一步丰富深圳市科学馆的展示内容，提升展示效果，现面向社会公开进行一楼探索展厅更新改造设计及相关服务招标。招标内容探索展厅更新改造的初步设计（含扩初设计）及相关服务，设计区域建筑面积约963平方米，预算50万元人民币，可竞价，项目资金来源为财政资金。</w:t>
      </w:r>
    </w:p>
    <w:p>
      <w:pPr>
        <w:pStyle w:val="5"/>
        <w:adjustRightInd w:val="0"/>
        <w:snapToGrid w:val="0"/>
        <w:spacing w:line="360" w:lineRule="auto"/>
        <w:ind w:firstLine="480" w:firstLineChars="200"/>
        <w:rPr>
          <w:rFonts w:ascii="宋体" w:hAnsi="宋体" w:eastAsia="宋体" w:cs="宋体"/>
          <w:sz w:val="24"/>
          <w:szCs w:val="24"/>
        </w:rPr>
      </w:pPr>
    </w:p>
    <w:p>
      <w:pPr>
        <w:numPr>
          <w:ilvl w:val="0"/>
          <w:numId w:val="2"/>
        </w:numPr>
        <w:adjustRightInd w:val="0"/>
        <w:snapToGrid w:val="0"/>
        <w:spacing w:line="360" w:lineRule="auto"/>
        <w:ind w:firstLine="482" w:firstLineChars="200"/>
        <w:jc w:val="center"/>
        <w:rPr>
          <w:rFonts w:ascii="宋体" w:hAnsi="宋体" w:eastAsia="宋体" w:cs="宋体"/>
          <w:b/>
          <w:bCs/>
          <w:sz w:val="24"/>
        </w:rPr>
      </w:pPr>
      <w:r>
        <w:rPr>
          <w:rFonts w:hint="eastAsia" w:ascii="宋体" w:hAnsi="宋体" w:eastAsia="宋体" w:cs="宋体"/>
          <w:b/>
          <w:bCs/>
          <w:sz w:val="24"/>
        </w:rPr>
        <w:t>招标内容</w:t>
      </w:r>
    </w:p>
    <w:p>
      <w:pPr>
        <w:adjustRightInd w:val="0"/>
        <w:snapToGrid w:val="0"/>
        <w:spacing w:line="360" w:lineRule="auto"/>
        <w:ind w:left="420" w:leftChars="200"/>
        <w:rPr>
          <w:rFonts w:ascii="宋体" w:hAnsi="宋体" w:eastAsia="宋体" w:cs="宋体"/>
          <w:sz w:val="24"/>
        </w:rPr>
      </w:pP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展厅拟更新改造为数学主题展馆。方案设计围绕数学主题进行，自行选取数学科学领域的内容进行展示。通过数学基本原理、数学应用等内容的科普展示，向公众展现数学的思维方式、研究方法，展示数学之美，传播科学精神。</w:t>
      </w:r>
    </w:p>
    <w:p>
      <w:pPr>
        <w:adjustRightInd w:val="0"/>
        <w:snapToGrid w:val="0"/>
        <w:spacing w:line="360" w:lineRule="auto"/>
        <w:ind w:left="420" w:leftChars="200"/>
        <w:rPr>
          <w:rFonts w:ascii="宋体" w:hAnsi="宋体" w:eastAsia="宋体" w:cs="宋体"/>
          <w:sz w:val="24"/>
        </w:rPr>
      </w:pPr>
      <w:r>
        <w:rPr>
          <w:rFonts w:hint="eastAsia" w:ascii="宋体" w:hAnsi="宋体" w:eastAsia="宋体" w:cs="宋体"/>
          <w:sz w:val="24"/>
        </w:rPr>
        <w:t>中标后完成以下设计及服务:</w:t>
      </w:r>
    </w:p>
    <w:p>
      <w:pPr>
        <w:numPr>
          <w:ilvl w:val="0"/>
          <w:numId w:val="3"/>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展示内容规划。展厅整体的方案描述，包括展示的内容，展示内容的逻辑关系，实现形式。</w:t>
      </w:r>
    </w:p>
    <w:p>
      <w:pPr>
        <w:numPr>
          <w:ilvl w:val="0"/>
          <w:numId w:val="3"/>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展品展项设计。包括展项清单，展项科学原理、实现原理、操作说明，展项图纸（原理、机械、电气、外观），展项维保说明，数字多媒体设计任务书等内容。</w:t>
      </w:r>
    </w:p>
    <w:p>
      <w:pPr>
        <w:numPr>
          <w:ilvl w:val="0"/>
          <w:numId w:val="3"/>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展厅布展设计。对展厅环境进行整体设计，与展示内容相适应。提供相关图纸。</w:t>
      </w:r>
    </w:p>
    <w:p>
      <w:pPr>
        <w:numPr>
          <w:ilvl w:val="0"/>
          <w:numId w:val="3"/>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规划展厅布局、设计参观动线。综合相邻的创造展厅、水展厅，合理的规划布局、设计参观动线，满足安全、消防疏散要求。</w:t>
      </w:r>
    </w:p>
    <w:p>
      <w:pPr>
        <w:pStyle w:val="2"/>
        <w:numPr>
          <w:ilvl w:val="0"/>
          <w:numId w:val="3"/>
        </w:numPr>
        <w:ind w:left="0" w:firstLine="480" w:firstLineChars="200"/>
      </w:pPr>
      <w:r>
        <w:rPr>
          <w:rFonts w:hint="eastAsia" w:cs="宋体"/>
          <w:sz w:val="24"/>
        </w:rPr>
        <w:t>编制概算文件。完成展项、布展的概算文件编制。</w:t>
      </w:r>
    </w:p>
    <w:p>
      <w:pPr>
        <w:numPr>
          <w:ilvl w:val="0"/>
          <w:numId w:val="3"/>
        </w:numPr>
        <w:adjustRightInd w:val="0"/>
        <w:snapToGrid w:val="0"/>
        <w:spacing w:line="360" w:lineRule="auto"/>
        <w:ind w:left="0" w:firstLine="480" w:firstLineChars="200"/>
        <w:rPr>
          <w:rFonts w:hint="eastAsia" w:ascii="宋体" w:hAnsi="宋体" w:eastAsia="宋体" w:cs="宋体"/>
          <w:sz w:val="24"/>
        </w:rPr>
      </w:pPr>
      <w:r>
        <w:rPr>
          <w:rFonts w:hint="eastAsia" w:ascii="宋体" w:hAnsi="宋体" w:eastAsia="宋体" w:cs="宋体"/>
          <w:sz w:val="24"/>
        </w:rPr>
        <w:t>中标人完成项目设计并通过评审后进行技术交底，并对后续的深化设计与展品制作提供指导服务。</w:t>
      </w:r>
    </w:p>
    <w:p>
      <w:pPr>
        <w:numPr>
          <w:ilvl w:val="0"/>
          <w:numId w:val="3"/>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其它初步设计（含扩初设计）阶段应完成的设计内容。</w:t>
      </w:r>
    </w:p>
    <w:p>
      <w:pPr>
        <w:adjustRightInd w:val="0"/>
        <w:snapToGrid w:val="0"/>
        <w:spacing w:line="360" w:lineRule="auto"/>
        <w:ind w:left="420" w:leftChars="200"/>
        <w:rPr>
          <w:rFonts w:ascii="宋体" w:hAnsi="宋体" w:eastAsia="宋体" w:cs="宋体"/>
          <w:sz w:val="24"/>
        </w:rPr>
      </w:pPr>
      <w:r>
        <w:rPr>
          <w:rFonts w:hint="eastAsia" w:ascii="宋体" w:hAnsi="宋体" w:eastAsia="宋体" w:cs="宋体"/>
          <w:sz w:val="24"/>
        </w:rPr>
        <w:t>设计要求：</w:t>
      </w:r>
    </w:p>
    <w:p>
      <w:pPr>
        <w:numPr>
          <w:ilvl w:val="0"/>
          <w:numId w:val="4"/>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充分考虑场地的现有条件，结合建筑特点进行设计。综合协调采光、通风、声学等环境条件，实现舒适的场馆参观体验。</w:t>
      </w:r>
    </w:p>
    <w:p>
      <w:pPr>
        <w:numPr>
          <w:ilvl w:val="0"/>
          <w:numId w:val="4"/>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相关设计符合国家标准，满足安全、防火、环保等要求。充分考虑可维护性。</w:t>
      </w:r>
    </w:p>
    <w:p>
      <w:pPr>
        <w:numPr>
          <w:ilvl w:val="0"/>
          <w:numId w:val="4"/>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展厅内分布有电磁表演区域，设计中应综合考虑。</w:t>
      </w:r>
    </w:p>
    <w:p>
      <w:pPr>
        <w:adjustRightInd w:val="0"/>
        <w:snapToGrid w:val="0"/>
        <w:spacing w:line="360" w:lineRule="auto"/>
        <w:ind w:firstLine="482" w:firstLineChars="200"/>
        <w:rPr>
          <w:rFonts w:ascii="宋体" w:hAnsi="宋体" w:eastAsia="宋体" w:cs="宋体"/>
          <w:b/>
          <w:bCs/>
          <w:sz w:val="24"/>
        </w:rPr>
      </w:pPr>
    </w:p>
    <w:p>
      <w:pPr>
        <w:numPr>
          <w:ilvl w:val="0"/>
          <w:numId w:val="2"/>
        </w:numPr>
        <w:adjustRightInd w:val="0"/>
        <w:snapToGrid w:val="0"/>
        <w:spacing w:line="360" w:lineRule="auto"/>
        <w:ind w:firstLine="482" w:firstLineChars="200"/>
        <w:jc w:val="center"/>
        <w:rPr>
          <w:rFonts w:ascii="宋体" w:hAnsi="宋体" w:eastAsia="宋体" w:cs="宋体"/>
          <w:b/>
          <w:bCs/>
          <w:sz w:val="24"/>
        </w:rPr>
      </w:pPr>
      <w:r>
        <w:rPr>
          <w:rFonts w:hint="eastAsia" w:ascii="宋体" w:hAnsi="宋体" w:eastAsia="宋体" w:cs="宋体"/>
          <w:b/>
          <w:bCs/>
          <w:sz w:val="24"/>
        </w:rPr>
        <w:t>投标文件的编制</w:t>
      </w:r>
    </w:p>
    <w:p>
      <w:pPr>
        <w:pStyle w:val="5"/>
        <w:adjustRightInd w:val="0"/>
        <w:snapToGrid w:val="0"/>
        <w:spacing w:line="360" w:lineRule="auto"/>
        <w:ind w:firstLine="0"/>
        <w:rPr>
          <w:rFonts w:ascii="宋体" w:hAnsi="宋体" w:eastAsia="宋体" w:cs="宋体"/>
          <w:sz w:val="24"/>
          <w:szCs w:val="24"/>
        </w:rPr>
      </w:pPr>
    </w:p>
    <w:p>
      <w:pPr>
        <w:adjustRightInd w:val="0"/>
        <w:snapToGrid w:val="0"/>
        <w:spacing w:line="360" w:lineRule="auto"/>
        <w:ind w:firstLine="482" w:firstLineChars="200"/>
        <w:jc w:val="left"/>
        <w:rPr>
          <w:rFonts w:ascii="宋体" w:hAnsi="宋体" w:eastAsia="宋体" w:cs="宋体"/>
          <w:b/>
          <w:bCs/>
          <w:sz w:val="24"/>
        </w:rPr>
      </w:pPr>
      <w:r>
        <w:rPr>
          <w:rFonts w:hint="eastAsia" w:ascii="宋体" w:hAnsi="宋体" w:eastAsia="宋体" w:cs="宋体"/>
          <w:b/>
          <w:bCs/>
          <w:sz w:val="24"/>
        </w:rPr>
        <w:t>投标人要求</w:t>
      </w:r>
    </w:p>
    <w:p>
      <w:pPr>
        <w:numPr>
          <w:ilvl w:val="0"/>
          <w:numId w:val="5"/>
        </w:numPr>
        <w:adjustRightInd w:val="0"/>
        <w:snapToGrid w:val="0"/>
        <w:spacing w:line="360" w:lineRule="auto"/>
        <w:ind w:left="0" w:firstLine="480" w:firstLineChars="200"/>
        <w:jc w:val="left"/>
        <w:rPr>
          <w:rFonts w:ascii="宋体" w:hAnsi="宋体" w:eastAsia="宋体" w:cs="宋体"/>
          <w:sz w:val="24"/>
        </w:rPr>
      </w:pPr>
      <w:r>
        <w:rPr>
          <w:rFonts w:hint="eastAsia" w:ascii="宋体" w:hAnsi="宋体" w:eastAsia="宋体" w:cs="宋体"/>
          <w:sz w:val="24"/>
        </w:rPr>
        <w:t>投标人须为国内外合法注册的企业，本项目不接受联合体投标。</w:t>
      </w:r>
    </w:p>
    <w:p>
      <w:pPr>
        <w:numPr>
          <w:ilvl w:val="0"/>
          <w:numId w:val="5"/>
        </w:numPr>
        <w:adjustRightInd w:val="0"/>
        <w:snapToGrid w:val="0"/>
        <w:spacing w:line="360" w:lineRule="auto"/>
        <w:ind w:left="0" w:firstLine="480" w:firstLineChars="200"/>
        <w:jc w:val="left"/>
        <w:rPr>
          <w:rFonts w:ascii="宋体" w:hAnsi="宋体" w:eastAsia="宋体" w:cs="宋体"/>
          <w:sz w:val="24"/>
        </w:rPr>
      </w:pPr>
      <w:r>
        <w:rPr>
          <w:rFonts w:hint="eastAsia" w:ascii="宋体" w:hAnsi="宋体" w:eastAsia="宋体" w:cs="宋体"/>
          <w:sz w:val="24"/>
        </w:rPr>
        <w:t>投标人须保证拥有所提交的设计创意及任何内部组成部分的知识产权；如他人提出异议，投标单位承担一切责任。</w:t>
      </w:r>
    </w:p>
    <w:p>
      <w:pPr>
        <w:numPr>
          <w:ilvl w:val="0"/>
          <w:numId w:val="5"/>
        </w:numPr>
        <w:adjustRightInd w:val="0"/>
        <w:snapToGrid w:val="0"/>
        <w:spacing w:line="360" w:lineRule="auto"/>
        <w:ind w:left="0" w:firstLine="480" w:firstLineChars="200"/>
        <w:jc w:val="left"/>
        <w:rPr>
          <w:rFonts w:ascii="宋体" w:hAnsi="宋体" w:eastAsia="宋体" w:cs="宋体"/>
          <w:sz w:val="24"/>
        </w:rPr>
      </w:pPr>
      <w:r>
        <w:rPr>
          <w:rFonts w:hint="eastAsia" w:ascii="宋体" w:hAnsi="宋体" w:eastAsia="宋体" w:cs="宋体"/>
          <w:sz w:val="24"/>
        </w:rPr>
        <w:t>投标人自愿参与并自行承担参加本次招标所发生的全部费用。</w:t>
      </w:r>
    </w:p>
    <w:p>
      <w:pPr>
        <w:numPr>
          <w:ilvl w:val="0"/>
          <w:numId w:val="5"/>
        </w:numPr>
        <w:adjustRightInd w:val="0"/>
        <w:snapToGrid w:val="0"/>
        <w:spacing w:line="360" w:lineRule="auto"/>
        <w:ind w:left="0" w:firstLine="480" w:firstLineChars="200"/>
        <w:jc w:val="left"/>
        <w:rPr>
          <w:rFonts w:ascii="宋体" w:hAnsi="宋体" w:eastAsia="宋体" w:cs="宋体"/>
          <w:sz w:val="24"/>
        </w:rPr>
      </w:pPr>
      <w:r>
        <w:rPr>
          <w:rFonts w:hint="eastAsia" w:ascii="宋体" w:hAnsi="宋体" w:eastAsia="宋体" w:cs="宋体"/>
          <w:sz w:val="24"/>
        </w:rPr>
        <w:t>三年内在国内无任何不良违法、企业诚信记录。</w:t>
      </w:r>
    </w:p>
    <w:p>
      <w:pPr>
        <w:numPr>
          <w:ilvl w:val="0"/>
          <w:numId w:val="5"/>
        </w:numPr>
        <w:adjustRightInd w:val="0"/>
        <w:snapToGrid w:val="0"/>
        <w:spacing w:line="360" w:lineRule="auto"/>
        <w:ind w:left="0" w:firstLine="480" w:firstLineChars="200"/>
        <w:jc w:val="left"/>
        <w:rPr>
          <w:rFonts w:ascii="宋体" w:hAnsi="宋体" w:eastAsia="宋体" w:cs="宋体"/>
          <w:sz w:val="24"/>
        </w:rPr>
      </w:pPr>
      <w:r>
        <w:rPr>
          <w:rFonts w:hint="eastAsia" w:cs="宋体"/>
          <w:sz w:val="24"/>
          <w:lang w:val="en-US" w:eastAsia="zh-CN"/>
        </w:rPr>
        <w:t>符合《中华人民共和国政府采购法》及其他法律法规规定的条件。</w:t>
      </w:r>
    </w:p>
    <w:p>
      <w:pPr>
        <w:adjustRightInd w:val="0"/>
        <w:snapToGrid w:val="0"/>
        <w:spacing w:line="360" w:lineRule="auto"/>
        <w:ind w:firstLine="482" w:firstLineChars="200"/>
        <w:jc w:val="left"/>
        <w:rPr>
          <w:rFonts w:ascii="宋体" w:hAnsi="宋体" w:eastAsia="宋体" w:cs="宋体"/>
          <w:b/>
          <w:color w:val="000000"/>
          <w:sz w:val="24"/>
        </w:rPr>
      </w:pPr>
      <w:r>
        <w:rPr>
          <w:rFonts w:hint="eastAsia" w:ascii="宋体" w:hAnsi="宋体" w:eastAsia="宋体" w:cs="宋体"/>
          <w:b/>
          <w:color w:val="000000"/>
          <w:sz w:val="24"/>
        </w:rPr>
        <w:t>投标文件编制要求</w:t>
      </w:r>
    </w:p>
    <w:p>
      <w:pPr>
        <w:adjustRightInd w:val="0"/>
        <w:snapToGrid w:val="0"/>
        <w:spacing w:line="360" w:lineRule="auto"/>
        <w:ind w:firstLine="480" w:firstLineChars="200"/>
        <w:jc w:val="left"/>
        <w:rPr>
          <w:rFonts w:ascii="宋体" w:hAnsi="宋体" w:eastAsia="宋体" w:cs="宋体"/>
          <w:bCs/>
          <w:color w:val="000000"/>
          <w:sz w:val="24"/>
        </w:rPr>
      </w:pPr>
      <w:r>
        <w:rPr>
          <w:rFonts w:hint="eastAsia" w:ascii="宋体" w:hAnsi="宋体" w:eastAsia="宋体" w:cs="宋体"/>
          <w:bCs/>
          <w:color w:val="000000"/>
          <w:sz w:val="24"/>
        </w:rPr>
        <w:t>请投标人按照以下顺序编制投标文件。</w:t>
      </w:r>
    </w:p>
    <w:p>
      <w:pPr>
        <w:numPr>
          <w:ilvl w:val="0"/>
          <w:numId w:val="6"/>
        </w:numPr>
        <w:adjustRightInd w:val="0"/>
        <w:snapToGrid w:val="0"/>
        <w:spacing w:line="360" w:lineRule="auto"/>
        <w:ind w:left="0" w:firstLine="480" w:firstLineChars="200"/>
        <w:jc w:val="left"/>
        <w:rPr>
          <w:rFonts w:ascii="宋体" w:hAnsi="宋体" w:eastAsia="宋体" w:cs="宋体"/>
          <w:bCs/>
          <w:color w:val="000000"/>
          <w:sz w:val="24"/>
        </w:rPr>
      </w:pPr>
      <w:r>
        <w:rPr>
          <w:rFonts w:hint="eastAsia" w:ascii="宋体" w:hAnsi="宋体" w:eastAsia="宋体" w:cs="宋体"/>
          <w:bCs/>
          <w:color w:val="000000"/>
          <w:sz w:val="24"/>
        </w:rPr>
        <w:t>投标总报价。</w:t>
      </w:r>
    </w:p>
    <w:p>
      <w:pPr>
        <w:pStyle w:val="5"/>
        <w:adjustRightInd w:val="0"/>
        <w:snapToGrid w:val="0"/>
        <w:spacing w:line="360" w:lineRule="auto"/>
        <w:ind w:firstLine="480" w:firstLineChars="200"/>
        <w:jc w:val="left"/>
        <w:rPr>
          <w:rFonts w:ascii="宋体" w:hAnsi="宋体" w:eastAsia="宋体" w:cs="宋体"/>
          <w:bCs/>
          <w:color w:val="000000"/>
          <w:sz w:val="24"/>
          <w:szCs w:val="24"/>
        </w:rPr>
      </w:pPr>
      <w:r>
        <w:rPr>
          <w:rFonts w:hint="eastAsia" w:ascii="宋体" w:hAnsi="宋体" w:eastAsia="宋体" w:cs="宋体"/>
          <w:sz w:val="24"/>
          <w:szCs w:val="24"/>
        </w:rPr>
        <w:t>以投标函形式提交。</w:t>
      </w:r>
    </w:p>
    <w:p>
      <w:pPr>
        <w:numPr>
          <w:ilvl w:val="0"/>
          <w:numId w:val="6"/>
        </w:numPr>
        <w:adjustRightInd w:val="0"/>
        <w:snapToGrid w:val="0"/>
        <w:spacing w:line="360" w:lineRule="auto"/>
        <w:ind w:left="0" w:firstLine="480" w:firstLineChars="200"/>
        <w:jc w:val="left"/>
        <w:rPr>
          <w:rFonts w:ascii="宋体" w:hAnsi="宋体" w:eastAsia="宋体" w:cs="宋体"/>
          <w:bCs/>
          <w:color w:val="000000"/>
          <w:sz w:val="24"/>
        </w:rPr>
      </w:pPr>
      <w:r>
        <w:rPr>
          <w:rFonts w:hint="eastAsia" w:ascii="宋体" w:hAnsi="宋体" w:eastAsia="宋体" w:cs="宋体"/>
          <w:bCs/>
          <w:color w:val="000000"/>
          <w:sz w:val="24"/>
        </w:rPr>
        <w:t>技术部分文件。</w:t>
      </w:r>
    </w:p>
    <w:p>
      <w:pPr>
        <w:adjustRightInd w:val="0"/>
        <w:snapToGrid w:val="0"/>
        <w:spacing w:line="360" w:lineRule="auto"/>
        <w:ind w:firstLine="480" w:firstLineChars="200"/>
        <w:jc w:val="left"/>
        <w:rPr>
          <w:rFonts w:ascii="宋体" w:hAnsi="宋体" w:eastAsia="宋体" w:cs="宋体"/>
          <w:bCs/>
          <w:color w:val="000000"/>
          <w:sz w:val="24"/>
        </w:rPr>
      </w:pPr>
      <w:r>
        <w:rPr>
          <w:rFonts w:hint="eastAsia" w:ascii="宋体" w:hAnsi="宋体" w:eastAsia="宋体" w:cs="宋体"/>
          <w:bCs/>
          <w:color w:val="000000"/>
          <w:sz w:val="24"/>
        </w:rPr>
        <w:t>（按照评分表中技术部分先后顺序依次编排）</w:t>
      </w:r>
    </w:p>
    <w:p>
      <w:pPr>
        <w:pStyle w:val="5"/>
        <w:numPr>
          <w:ilvl w:val="0"/>
          <w:numId w:val="7"/>
        </w:num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内容方案</w:t>
      </w:r>
    </w:p>
    <w:p>
      <w:pPr>
        <w:pStyle w:val="9"/>
        <w:adjustRightInd w:val="0"/>
        <w:snapToGrid w:val="0"/>
        <w:ind w:firstLine="480"/>
        <w:jc w:val="left"/>
        <w:rPr>
          <w:rFonts w:ascii="宋体" w:hAnsi="宋体" w:eastAsia="宋体" w:cs="宋体"/>
          <w:sz w:val="24"/>
        </w:rPr>
      </w:pPr>
      <w:r>
        <w:rPr>
          <w:rFonts w:hint="eastAsia" w:ascii="宋体" w:hAnsi="宋体" w:eastAsia="宋体" w:cs="宋体"/>
          <w:sz w:val="24"/>
        </w:rPr>
        <w:t>提供文字描述方案。</w:t>
      </w:r>
    </w:p>
    <w:p>
      <w:pPr>
        <w:pStyle w:val="9"/>
        <w:adjustRightInd w:val="0"/>
        <w:snapToGrid w:val="0"/>
        <w:ind w:firstLine="480"/>
        <w:jc w:val="left"/>
        <w:rPr>
          <w:rFonts w:ascii="宋体" w:hAnsi="宋体" w:eastAsia="宋体" w:cs="宋体"/>
          <w:sz w:val="24"/>
        </w:rPr>
      </w:pPr>
      <w:r>
        <w:rPr>
          <w:rFonts w:hint="eastAsia" w:ascii="宋体" w:hAnsi="宋体" w:eastAsia="宋体" w:cs="宋体"/>
          <w:sz w:val="24"/>
        </w:rPr>
        <w:t>关于展厅设计的内容方案，包括展示的主要内容、不同内容间的逻辑关系、展厅设计通过展品展项的实现形式等，方案应该保证科学性。</w:t>
      </w:r>
    </w:p>
    <w:p>
      <w:pPr>
        <w:pStyle w:val="5"/>
        <w:numPr>
          <w:ilvl w:val="0"/>
          <w:numId w:val="7"/>
        </w:num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展品展项设计</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A.列出展项清单。</w:t>
      </w:r>
    </w:p>
    <w:p>
      <w:pPr>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展项清单可包含展项的设计图（手绘图亦可）、演示文件等。</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完成设计示例，不少于1个核心展项和1个一般展项，设计深度为完成初步设计（含扩初设计）。需完成展项的结构、机械、电气、软件设计,科学原理说明，教育活动策划方案等，展项设计应具有创新性。</w:t>
      </w:r>
    </w:p>
    <w:p>
      <w:pPr>
        <w:pStyle w:val="5"/>
        <w:numPr>
          <w:ilvl w:val="0"/>
          <w:numId w:val="7"/>
        </w:num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布展设计</w:t>
      </w:r>
    </w:p>
    <w:p>
      <w:pPr>
        <w:numPr>
          <w:ilvl w:val="0"/>
          <w:numId w:val="8"/>
        </w:num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提供布局动线图。</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结合展示内容、展品设计对展区进行布局，并规划参观动线。</w:t>
      </w:r>
    </w:p>
    <w:p>
      <w:pPr>
        <w:numPr>
          <w:ilvl w:val="0"/>
          <w:numId w:val="8"/>
        </w:num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提供布展设计的总体效果图及说明。</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对展厅进行布展环境设计，体现科学与艺术。</w:t>
      </w:r>
    </w:p>
    <w:p>
      <w:pPr>
        <w:pStyle w:val="5"/>
        <w:numPr>
          <w:ilvl w:val="0"/>
          <w:numId w:val="7"/>
        </w:num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环境、安全、可维护性</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提供文字描述。</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包括a.对于环境效果（通风、采光、声学）的设计思考，b.展厅设计的安全保证，c.展厅的维护描述。</w:t>
      </w:r>
    </w:p>
    <w:p>
      <w:pPr>
        <w:pStyle w:val="5"/>
        <w:numPr>
          <w:ilvl w:val="0"/>
          <w:numId w:val="7"/>
        </w:num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后续服务承诺书</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对后续深化设计及制作提供指导，提供相应承诺书（格式自拟）。</w:t>
      </w:r>
    </w:p>
    <w:p>
      <w:pPr>
        <w:numPr>
          <w:ilvl w:val="0"/>
          <w:numId w:val="6"/>
        </w:numPr>
        <w:adjustRightInd w:val="0"/>
        <w:snapToGrid w:val="0"/>
        <w:spacing w:line="360" w:lineRule="auto"/>
        <w:ind w:left="0" w:firstLine="480" w:firstLineChars="200"/>
        <w:jc w:val="left"/>
        <w:rPr>
          <w:rFonts w:ascii="宋体" w:hAnsi="宋体" w:eastAsia="宋体" w:cs="宋体"/>
          <w:bCs/>
          <w:color w:val="000000"/>
          <w:sz w:val="24"/>
        </w:rPr>
      </w:pPr>
      <w:r>
        <w:rPr>
          <w:rFonts w:hint="eastAsia" w:ascii="宋体" w:hAnsi="宋体" w:eastAsia="宋体" w:cs="宋体"/>
          <w:bCs/>
          <w:color w:val="000000"/>
          <w:sz w:val="24"/>
        </w:rPr>
        <w:t>商务部分文件。</w:t>
      </w:r>
    </w:p>
    <w:p>
      <w:pPr>
        <w:adjustRightInd w:val="0"/>
        <w:snapToGrid w:val="0"/>
        <w:spacing w:line="360" w:lineRule="auto"/>
        <w:ind w:firstLine="480" w:firstLineChars="200"/>
        <w:jc w:val="left"/>
        <w:rPr>
          <w:rFonts w:ascii="宋体" w:hAnsi="宋体" w:eastAsia="宋体" w:cs="宋体"/>
          <w:bCs/>
          <w:color w:val="000000"/>
          <w:sz w:val="24"/>
        </w:rPr>
      </w:pPr>
      <w:r>
        <w:rPr>
          <w:rFonts w:hint="eastAsia" w:ascii="宋体" w:hAnsi="宋体" w:eastAsia="宋体" w:cs="宋体"/>
          <w:bCs/>
          <w:color w:val="000000"/>
          <w:sz w:val="24"/>
        </w:rPr>
        <w:t>（按照评分表中商务部分先后顺序依次编排）</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（1）投标函</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（2）政府采购投标及履约承诺函</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（3）通过年审的营业执照副本原件扫描件（盖章）</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（4）法定代表人证明书</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（5）投标文件签署授权委托书</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（6）投标人通过相关认证情况（格式自定）</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（7）投标人同类项目业绩情况（格式自定，需包含合同或者中标通知书关键页并盖章）</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（8）投标人资质情况（格式自定）</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（9）拟安排的项目负责人情况（仅限一人）（格式自定）</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（10）拟安排的项目主要团队成员（主要技术人员）情况（项目负责人除外）</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a.格式自定</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b.列出全部主要成员总表</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c.提供不超过2名成员简历供评分</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（11）投标人自主知识产权产品（创新、设计）情况（格式自定）</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（12）环保执行情况（格式自定）</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（13）服务网点（格式自定）</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（14）疫情防控重点保障企业（格式自定）</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（15）稳岗企业（格式自定）</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（16）诚信承诺函（法人或授权人签字并盖章）</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（17）其它招标文件要求的内容及投标人认为需要补充的内容（格式自定）</w:t>
      </w:r>
    </w:p>
    <w:p>
      <w:pPr>
        <w:pStyle w:val="5"/>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投标文件语言为中文，单位为公制，所有文件装订为一本，一式五份。</w:t>
      </w:r>
    </w:p>
    <w:p>
      <w:pPr>
        <w:adjustRightInd w:val="0"/>
        <w:snapToGrid w:val="0"/>
        <w:spacing w:line="360" w:lineRule="auto"/>
        <w:ind w:firstLine="480" w:firstLineChars="200"/>
        <w:rPr>
          <w:rFonts w:ascii="宋体" w:hAnsi="宋体" w:eastAsia="宋体" w:cs="宋体"/>
          <w:sz w:val="24"/>
        </w:rPr>
      </w:pPr>
    </w:p>
    <w:p>
      <w:pPr>
        <w:numPr>
          <w:ilvl w:val="0"/>
          <w:numId w:val="2"/>
        </w:numPr>
        <w:adjustRightInd w:val="0"/>
        <w:snapToGrid w:val="0"/>
        <w:spacing w:line="360" w:lineRule="auto"/>
        <w:ind w:firstLine="482" w:firstLineChars="200"/>
        <w:jc w:val="center"/>
        <w:rPr>
          <w:rFonts w:ascii="宋体" w:hAnsi="宋体" w:eastAsia="宋体" w:cs="宋体"/>
          <w:b/>
          <w:bCs/>
          <w:sz w:val="24"/>
        </w:rPr>
      </w:pPr>
      <w:r>
        <w:rPr>
          <w:rFonts w:hint="eastAsia" w:ascii="宋体" w:hAnsi="宋体" w:eastAsia="宋体" w:cs="宋体"/>
          <w:b/>
          <w:bCs/>
          <w:sz w:val="24"/>
        </w:rPr>
        <w:t>时间安排</w:t>
      </w:r>
    </w:p>
    <w:p>
      <w:pPr>
        <w:pStyle w:val="5"/>
        <w:adjustRightInd w:val="0"/>
        <w:snapToGrid w:val="0"/>
        <w:spacing w:line="360" w:lineRule="auto"/>
        <w:ind w:firstLine="480" w:firstLineChars="200"/>
        <w:rPr>
          <w:rFonts w:ascii="宋体" w:hAnsi="宋体" w:eastAsia="宋体" w:cs="宋体"/>
          <w:sz w:val="24"/>
          <w:szCs w:val="24"/>
        </w:rPr>
      </w:pPr>
    </w:p>
    <w:p>
      <w:pPr>
        <w:numPr>
          <w:ilvl w:val="0"/>
          <w:numId w:val="9"/>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lang w:val="en-US" w:eastAsia="zh-CN"/>
        </w:rPr>
        <w:t>投标</w:t>
      </w:r>
      <w:r>
        <w:rPr>
          <w:rFonts w:hint="eastAsia" w:ascii="宋体" w:hAnsi="宋体" w:eastAsia="宋体" w:cs="宋体"/>
          <w:sz w:val="24"/>
        </w:rPr>
        <w:t>起止时间</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2021年8月</w:t>
      </w:r>
      <w:r>
        <w:rPr>
          <w:rFonts w:hint="eastAsia" w:ascii="宋体" w:hAnsi="宋体" w:eastAsia="宋体" w:cs="宋体"/>
          <w:sz w:val="24"/>
          <w:lang w:val="en-US" w:eastAsia="zh-CN"/>
        </w:rPr>
        <w:t>3</w:t>
      </w:r>
      <w:r>
        <w:rPr>
          <w:rFonts w:hint="eastAsia" w:ascii="宋体" w:hAnsi="宋体" w:eastAsia="宋体" w:cs="宋体"/>
          <w:sz w:val="24"/>
        </w:rPr>
        <w:t>日至2021年9月8日。投标人务必在2021年9月8日17：00之前当面或者邮寄送达投标文件，邮寄送达以签收时间为准。本次采购活动不组织现场考察环节，投标人可自行考察。</w:t>
      </w:r>
    </w:p>
    <w:p>
      <w:pPr>
        <w:pStyle w:val="5"/>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二、投标有效期：180天</w:t>
      </w:r>
      <w:bookmarkStart w:id="8" w:name="_GoBack"/>
      <w:bookmarkEnd w:id="8"/>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三、投标文件提交地址及联系方式</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地    址：深圳市福田区上步中路1003号科学馆402室</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收 件 人：    程先生</w:t>
      </w:r>
      <w:r>
        <w:rPr>
          <w:rFonts w:hint="eastAsia" w:ascii="宋体" w:hAnsi="宋体" w:eastAsia="宋体" w:cs="宋体"/>
          <w:sz w:val="24"/>
          <w:lang w:val="en-US" w:eastAsia="zh-CN"/>
        </w:rPr>
        <w:t xml:space="preserve">  </w:t>
      </w:r>
      <w:r>
        <w:rPr>
          <w:rFonts w:hint="eastAsia" w:ascii="宋体" w:hAnsi="宋体" w:eastAsia="宋体" w:cs="宋体"/>
          <w:sz w:val="24"/>
        </w:rPr>
        <w:t>赵先生</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联系电话：  0755-8326 8445</w:t>
      </w:r>
    </w:p>
    <w:p>
      <w:pPr>
        <w:pStyle w:val="5"/>
        <w:adjustRightInd w:val="0"/>
        <w:snapToGrid w:val="0"/>
        <w:spacing w:line="360" w:lineRule="auto"/>
        <w:ind w:firstLine="480" w:firstLineChars="200"/>
        <w:rPr>
          <w:rFonts w:ascii="宋体" w:hAnsi="宋体" w:eastAsia="宋体" w:cs="宋体"/>
          <w:sz w:val="24"/>
          <w:szCs w:val="24"/>
        </w:rPr>
      </w:pPr>
    </w:p>
    <w:p>
      <w:pPr>
        <w:numPr>
          <w:ilvl w:val="0"/>
          <w:numId w:val="2"/>
        </w:numPr>
        <w:adjustRightInd w:val="0"/>
        <w:snapToGrid w:val="0"/>
        <w:spacing w:line="360" w:lineRule="auto"/>
        <w:ind w:firstLine="482" w:firstLineChars="200"/>
        <w:jc w:val="center"/>
        <w:rPr>
          <w:rFonts w:ascii="宋体" w:hAnsi="宋体" w:eastAsia="宋体" w:cs="宋体"/>
          <w:b/>
          <w:bCs/>
          <w:sz w:val="24"/>
        </w:rPr>
      </w:pPr>
      <w:r>
        <w:rPr>
          <w:rFonts w:hint="eastAsia" w:ascii="宋体" w:hAnsi="宋体" w:eastAsia="宋体" w:cs="宋体"/>
          <w:b/>
          <w:bCs/>
          <w:sz w:val="24"/>
        </w:rPr>
        <w:t>评审、定标、公示</w:t>
      </w:r>
    </w:p>
    <w:p>
      <w:pPr>
        <w:pStyle w:val="5"/>
        <w:adjustRightInd w:val="0"/>
        <w:snapToGrid w:val="0"/>
        <w:spacing w:line="360" w:lineRule="auto"/>
        <w:ind w:firstLine="480" w:firstLineChars="200"/>
        <w:rPr>
          <w:rFonts w:ascii="宋体" w:hAnsi="宋体" w:eastAsia="宋体" w:cs="宋体"/>
          <w:sz w:val="24"/>
          <w:szCs w:val="24"/>
        </w:rPr>
      </w:pPr>
    </w:p>
    <w:p>
      <w:pPr>
        <w:numPr>
          <w:ilvl w:val="0"/>
          <w:numId w:val="10"/>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评审</w:t>
      </w:r>
    </w:p>
    <w:p>
      <w:pPr>
        <w:numPr>
          <w:ilvl w:val="0"/>
          <w:numId w:val="11"/>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深圳市科学馆将组织成立不少于5人的项目的评审小组。</w:t>
      </w:r>
    </w:p>
    <w:p>
      <w:pPr>
        <w:numPr>
          <w:ilvl w:val="0"/>
          <w:numId w:val="11"/>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评审小组将对按时提交、符合要求的所有投标文件进行评审，根据深圳市政府采购服务类评标标准，此项目价格分占比20%，技术方案分占比50%，商务分占比30%。评审小组将对比价格、设计方案、展示效果、团队实力、后续服务等方面因素，选取合适的中标单位。具体评分细则详见附件二，</w:t>
      </w:r>
      <w:r>
        <w:rPr>
          <w:rFonts w:hint="eastAsia" w:ascii="宋体" w:hAnsi="宋体" w:eastAsia="宋体" w:cs="宋体"/>
          <w:bCs/>
          <w:color w:val="000000"/>
          <w:sz w:val="24"/>
        </w:rPr>
        <w:t>深圳市科学馆探索展厅更新改造设计方案评分表</w:t>
      </w:r>
      <w:r>
        <w:rPr>
          <w:rFonts w:hint="eastAsia" w:ascii="宋体" w:hAnsi="宋体" w:eastAsia="宋体" w:cs="宋体"/>
          <w:sz w:val="24"/>
        </w:rPr>
        <w:t>。</w:t>
      </w:r>
    </w:p>
    <w:p>
      <w:pPr>
        <w:numPr>
          <w:ilvl w:val="0"/>
          <w:numId w:val="10"/>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定标</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按照采购文件中规定的各项因素进行量化打分，以所有评委评分总和的平均分为投标人最终得分，得分最高的投标人为第一候选中标供应商，次高者为第二候选中标供应商，评标委员会确定第一候选中标供应商为中标人。得分相同的投标人，按投标报价由低到高顺序排列，评标委员会确定报价低的供应商为中标人。得分且投标报价相同的，按主要技术指标优劣顺序排列，评标委员会确定技术指标最优的供应商为中标人。</w:t>
      </w:r>
    </w:p>
    <w:p>
      <w:pPr>
        <w:numPr>
          <w:ilvl w:val="0"/>
          <w:numId w:val="10"/>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公示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采购评审结果将于2021年 9 月 20 日以前在深圳市科学馆网站</w:t>
      </w:r>
      <w:r>
        <w:rPr>
          <w:rFonts w:hint="eastAsia" w:ascii="宋体" w:hAnsi="宋体" w:eastAsia="宋体" w:cs="宋体"/>
          <w:sz w:val="24"/>
          <w:u w:val="single"/>
        </w:rPr>
        <w:t>www.szstm.com</w:t>
      </w:r>
      <w:r>
        <w:rPr>
          <w:rFonts w:hint="eastAsia" w:ascii="宋体" w:hAnsi="宋体" w:eastAsia="宋体" w:cs="宋体"/>
          <w:sz w:val="24"/>
        </w:rPr>
        <w:t>上公布。</w:t>
      </w:r>
    </w:p>
    <w:p>
      <w:pPr>
        <w:pStyle w:val="5"/>
        <w:adjustRightInd w:val="0"/>
        <w:snapToGrid w:val="0"/>
        <w:spacing w:line="360" w:lineRule="auto"/>
        <w:ind w:firstLine="480" w:firstLineChars="200"/>
        <w:rPr>
          <w:rFonts w:ascii="宋体" w:hAnsi="宋体" w:eastAsia="宋体" w:cs="宋体"/>
          <w:sz w:val="24"/>
          <w:szCs w:val="24"/>
        </w:rPr>
      </w:pPr>
    </w:p>
    <w:p>
      <w:pPr>
        <w:numPr>
          <w:ilvl w:val="0"/>
          <w:numId w:val="2"/>
        </w:numPr>
        <w:adjustRightInd w:val="0"/>
        <w:snapToGrid w:val="0"/>
        <w:spacing w:line="360" w:lineRule="auto"/>
        <w:ind w:firstLine="482" w:firstLineChars="200"/>
        <w:jc w:val="center"/>
        <w:rPr>
          <w:rFonts w:ascii="宋体" w:hAnsi="宋体" w:eastAsia="宋体" w:cs="宋体"/>
          <w:b/>
          <w:bCs/>
          <w:sz w:val="24"/>
        </w:rPr>
      </w:pPr>
      <w:r>
        <w:rPr>
          <w:rFonts w:hint="eastAsia" w:ascii="宋体" w:hAnsi="宋体" w:eastAsia="宋体" w:cs="宋体"/>
          <w:b/>
          <w:bCs/>
          <w:sz w:val="24"/>
        </w:rPr>
        <w:t>质疑与投诉</w:t>
      </w:r>
    </w:p>
    <w:p>
      <w:pPr>
        <w:pStyle w:val="6"/>
        <w:adjustRightInd w:val="0"/>
        <w:snapToGrid w:val="0"/>
        <w:ind w:firstLine="480" w:firstLineChars="200"/>
        <w:rPr>
          <w:rFonts w:ascii="宋体" w:hAnsi="宋体" w:eastAsia="宋体" w:cs="宋体"/>
          <w:sz w:val="24"/>
        </w:rPr>
      </w:pP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投标人在采购、评审、公示过程中如有对本次招标事项有异议，请以邮件的形式提交。招标人将在24小时内回复投标人。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邮件提交地址：</w:t>
      </w:r>
      <w:r>
        <w:fldChar w:fldCharType="begin"/>
      </w:r>
      <w:r>
        <w:instrText xml:space="preserve"> HYPERLINK "mailto:zf2134@qq.com" </w:instrText>
      </w:r>
      <w:r>
        <w:fldChar w:fldCharType="separate"/>
      </w:r>
      <w:r>
        <w:rPr>
          <w:rStyle w:val="19"/>
          <w:rFonts w:hint="eastAsia" w:ascii="宋体" w:hAnsi="宋体" w:eastAsia="宋体" w:cs="宋体"/>
          <w:sz w:val="24"/>
        </w:rPr>
        <w:t>zf2134@qq.com</w:t>
      </w:r>
      <w:r>
        <w:rPr>
          <w:rStyle w:val="19"/>
          <w:rFonts w:hint="eastAsia" w:ascii="宋体" w:hAnsi="宋体" w:eastAsia="宋体" w:cs="宋体"/>
          <w:sz w:val="24"/>
        </w:rPr>
        <w:fldChar w:fldCharType="end"/>
      </w:r>
    </w:p>
    <w:p>
      <w:pPr>
        <w:pStyle w:val="5"/>
        <w:adjustRightInd w:val="0"/>
        <w:snapToGrid w:val="0"/>
        <w:spacing w:line="360" w:lineRule="auto"/>
        <w:ind w:firstLine="480" w:firstLineChars="200"/>
        <w:rPr>
          <w:rFonts w:ascii="宋体" w:hAnsi="宋体" w:eastAsia="宋体" w:cs="宋体"/>
          <w:sz w:val="24"/>
          <w:szCs w:val="24"/>
        </w:rPr>
      </w:pPr>
    </w:p>
    <w:p>
      <w:pPr>
        <w:numPr>
          <w:ilvl w:val="0"/>
          <w:numId w:val="2"/>
        </w:numPr>
        <w:adjustRightInd w:val="0"/>
        <w:snapToGrid w:val="0"/>
        <w:spacing w:line="360" w:lineRule="auto"/>
        <w:ind w:firstLine="482" w:firstLineChars="200"/>
        <w:jc w:val="center"/>
        <w:rPr>
          <w:rFonts w:ascii="宋体" w:hAnsi="宋体" w:eastAsia="宋体" w:cs="宋体"/>
          <w:b/>
          <w:bCs/>
          <w:sz w:val="24"/>
        </w:rPr>
      </w:pPr>
      <w:r>
        <w:rPr>
          <w:rFonts w:hint="eastAsia" w:ascii="宋体" w:hAnsi="宋体" w:eastAsia="宋体" w:cs="宋体"/>
          <w:b/>
          <w:bCs/>
          <w:sz w:val="24"/>
        </w:rPr>
        <w:t>合同、付款和验收</w:t>
      </w:r>
    </w:p>
    <w:p>
      <w:pPr>
        <w:pStyle w:val="5"/>
        <w:adjustRightInd w:val="0"/>
        <w:snapToGrid w:val="0"/>
        <w:spacing w:line="360" w:lineRule="auto"/>
        <w:ind w:firstLine="480" w:firstLineChars="200"/>
        <w:rPr>
          <w:rFonts w:ascii="宋体" w:hAnsi="宋体" w:eastAsia="宋体" w:cs="宋体"/>
          <w:sz w:val="24"/>
          <w:szCs w:val="24"/>
        </w:rPr>
      </w:pPr>
    </w:p>
    <w:p>
      <w:pPr>
        <w:numPr>
          <w:ilvl w:val="0"/>
          <w:numId w:val="12"/>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合同</w:t>
      </w:r>
    </w:p>
    <w:p>
      <w:pPr>
        <w:numPr>
          <w:ilvl w:val="0"/>
          <w:numId w:val="13"/>
        </w:num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评审结果公示满3个工作日后如无质疑、投诉，招标人将在10个工作日内与中标人签订采购合同。</w:t>
      </w:r>
    </w:p>
    <w:p>
      <w:pPr>
        <w:numPr>
          <w:ilvl w:val="0"/>
          <w:numId w:val="13"/>
        </w:num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设计周期：</w:t>
      </w:r>
      <w:r>
        <w:rPr>
          <w:rFonts w:hint="eastAsia" w:ascii="宋体" w:hAnsi="宋体" w:eastAsia="宋体" w:cs="宋体"/>
          <w:sz w:val="24"/>
          <w:highlight w:val="none"/>
        </w:rPr>
        <w:t>签订合同后120天以内</w:t>
      </w:r>
      <w:r>
        <w:rPr>
          <w:rFonts w:hint="eastAsia" w:ascii="宋体" w:hAnsi="宋体" w:eastAsia="宋体" w:cs="宋体"/>
          <w:sz w:val="24"/>
        </w:rPr>
        <w:t>。</w:t>
      </w:r>
    </w:p>
    <w:p>
      <w:pPr>
        <w:pStyle w:val="5"/>
        <w:numPr>
          <w:ilvl w:val="0"/>
          <w:numId w:val="12"/>
        </w:numPr>
        <w:adjustRightInd w:val="0"/>
        <w:snapToGrid w:val="0"/>
        <w:spacing w:line="360" w:lineRule="auto"/>
        <w:ind w:left="0" w:firstLine="480" w:firstLineChars="200"/>
        <w:rPr>
          <w:rFonts w:ascii="宋体" w:hAnsi="宋体" w:eastAsia="宋体" w:cs="宋体"/>
          <w:sz w:val="24"/>
          <w:szCs w:val="24"/>
        </w:rPr>
      </w:pPr>
      <w:r>
        <w:rPr>
          <w:rFonts w:hint="eastAsia" w:ascii="宋体" w:hAnsi="宋体" w:eastAsia="宋体" w:cs="宋体"/>
          <w:sz w:val="24"/>
          <w:szCs w:val="24"/>
        </w:rPr>
        <w:t>授予合同后的工作</w:t>
      </w:r>
    </w:p>
    <w:p>
      <w:pPr>
        <w:pStyle w:val="24"/>
        <w:numPr>
          <w:ilvl w:val="0"/>
          <w:numId w:val="14"/>
        </w:numPr>
        <w:autoSpaceDE w:val="0"/>
        <w:autoSpaceDN w:val="0"/>
        <w:adjustRightInd w:val="0"/>
        <w:snapToGrid w:val="0"/>
        <w:spacing w:line="360" w:lineRule="auto"/>
        <w:ind w:firstLine="480"/>
        <w:rPr>
          <w:rFonts w:ascii="宋体" w:hAnsi="宋体" w:eastAsia="宋体" w:cs="宋体"/>
          <w:sz w:val="24"/>
        </w:rPr>
      </w:pPr>
      <w:r>
        <w:rPr>
          <w:rFonts w:hint="eastAsia" w:ascii="宋体" w:hAnsi="宋体" w:eastAsia="宋体" w:cs="宋体"/>
          <w:sz w:val="24"/>
        </w:rPr>
        <w:t>展示方案描述</w:t>
      </w:r>
    </w:p>
    <w:p>
      <w:pPr>
        <w:numPr>
          <w:ilvl w:val="0"/>
          <w:numId w:val="15"/>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展厅的设计理念、规划思路与策划逻辑。</w:t>
      </w:r>
    </w:p>
    <w:p>
      <w:pPr>
        <w:numPr>
          <w:ilvl w:val="0"/>
          <w:numId w:val="15"/>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展厅的内容框架、展示框架。</w:t>
      </w:r>
    </w:p>
    <w:p>
      <w:pPr>
        <w:pStyle w:val="24"/>
        <w:autoSpaceDE w:val="0"/>
        <w:autoSpaceDN w:val="0"/>
        <w:adjustRightInd w:val="0"/>
        <w:snapToGrid w:val="0"/>
        <w:spacing w:line="360" w:lineRule="auto"/>
        <w:ind w:firstLine="480"/>
        <w:rPr>
          <w:rFonts w:ascii="宋体" w:hAnsi="宋体" w:eastAsia="宋体" w:cs="宋体"/>
          <w:kern w:val="0"/>
          <w:sz w:val="24"/>
        </w:rPr>
      </w:pPr>
      <w:r>
        <w:rPr>
          <w:rFonts w:hint="eastAsia" w:ascii="宋体" w:hAnsi="宋体" w:eastAsia="宋体" w:cs="宋体"/>
          <w:sz w:val="24"/>
        </w:rPr>
        <w:t>2、</w:t>
      </w:r>
      <w:r>
        <w:rPr>
          <w:rFonts w:hint="eastAsia" w:ascii="宋体" w:hAnsi="宋体" w:eastAsia="宋体" w:cs="宋体"/>
          <w:kern w:val="0"/>
          <w:sz w:val="24"/>
          <w:lang w:val="zh-CN"/>
        </w:rPr>
        <w:t>布展</w:t>
      </w:r>
      <w:r>
        <w:rPr>
          <w:rFonts w:hint="eastAsia" w:ascii="宋体" w:hAnsi="宋体" w:eastAsia="宋体" w:cs="宋体"/>
          <w:kern w:val="0"/>
          <w:sz w:val="24"/>
        </w:rPr>
        <w:t>设计</w:t>
      </w:r>
    </w:p>
    <w:p>
      <w:pPr>
        <w:adjustRightInd w:val="0"/>
        <w:snapToGrid w:val="0"/>
        <w:spacing w:line="360" w:lineRule="auto"/>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文本文件</w:t>
      </w:r>
    </w:p>
    <w:p>
      <w:pPr>
        <w:numPr>
          <w:ilvl w:val="0"/>
          <w:numId w:val="16"/>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展厅</w:t>
      </w:r>
      <w:r>
        <w:rPr>
          <w:rFonts w:hint="eastAsia" w:ascii="宋体" w:hAnsi="宋体" w:eastAsia="宋体" w:cs="宋体"/>
          <w:sz w:val="24"/>
          <w:lang w:val="zh-CN"/>
        </w:rPr>
        <w:t>的总体设计</w:t>
      </w:r>
      <w:r>
        <w:rPr>
          <w:rFonts w:hint="eastAsia" w:ascii="宋体" w:hAnsi="宋体" w:eastAsia="宋体" w:cs="宋体"/>
          <w:sz w:val="24"/>
        </w:rPr>
        <w:t>思路、设计理念与设计</w:t>
      </w:r>
      <w:r>
        <w:rPr>
          <w:rFonts w:hint="eastAsia" w:ascii="宋体" w:hAnsi="宋体" w:eastAsia="宋体" w:cs="宋体"/>
          <w:sz w:val="24"/>
          <w:lang w:val="zh-CN"/>
        </w:rPr>
        <w:t>风格</w:t>
      </w:r>
      <w:r>
        <w:rPr>
          <w:rFonts w:hint="eastAsia" w:ascii="宋体" w:hAnsi="宋体" w:eastAsia="宋体" w:cs="宋体"/>
          <w:sz w:val="24"/>
        </w:rPr>
        <w:t>说明。</w:t>
      </w:r>
    </w:p>
    <w:p>
      <w:pPr>
        <w:numPr>
          <w:ilvl w:val="0"/>
          <w:numId w:val="16"/>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rPr>
        <w:t>对展厅内容框架、展示框架、知识脉络的布展实现。</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图纸文件</w:t>
      </w:r>
    </w:p>
    <w:p>
      <w:pPr>
        <w:numPr>
          <w:ilvl w:val="0"/>
          <w:numId w:val="17"/>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lang w:val="zh-CN"/>
        </w:rPr>
        <w:t>提供详细平面图、立面图、天花图、</w:t>
      </w:r>
      <w:r>
        <w:rPr>
          <w:rFonts w:hint="eastAsia" w:ascii="宋体" w:hAnsi="宋体" w:eastAsia="宋体" w:cs="宋体"/>
          <w:sz w:val="24"/>
        </w:rPr>
        <w:t>地花图</w:t>
      </w:r>
      <w:r>
        <w:rPr>
          <w:rFonts w:hint="eastAsia" w:ascii="宋体" w:hAnsi="宋体" w:eastAsia="宋体" w:cs="宋体"/>
          <w:sz w:val="24"/>
          <w:lang w:val="zh-CN"/>
        </w:rPr>
        <w:t>。</w:t>
      </w:r>
    </w:p>
    <w:p>
      <w:pPr>
        <w:numPr>
          <w:ilvl w:val="0"/>
          <w:numId w:val="17"/>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lang w:val="zh-CN"/>
        </w:rPr>
        <w:t>提供能完整清楚表达</w:t>
      </w:r>
      <w:r>
        <w:rPr>
          <w:rFonts w:hint="eastAsia" w:ascii="宋体" w:hAnsi="宋体" w:eastAsia="宋体" w:cs="宋体"/>
          <w:sz w:val="24"/>
        </w:rPr>
        <w:t>分展区</w:t>
      </w:r>
      <w:r>
        <w:rPr>
          <w:rFonts w:hint="eastAsia" w:ascii="宋体" w:hAnsi="宋体" w:eastAsia="宋体" w:cs="宋体"/>
          <w:sz w:val="24"/>
          <w:lang w:val="zh-CN"/>
        </w:rPr>
        <w:t>风格的三维彩色效果图、鸟瞰图，其中每个</w:t>
      </w:r>
      <w:r>
        <w:rPr>
          <w:rFonts w:hint="eastAsia" w:ascii="宋体" w:hAnsi="宋体" w:eastAsia="宋体" w:cs="宋体"/>
          <w:sz w:val="24"/>
        </w:rPr>
        <w:t>分</w:t>
      </w:r>
      <w:r>
        <w:rPr>
          <w:rFonts w:hint="eastAsia" w:ascii="宋体" w:hAnsi="宋体" w:eastAsia="宋体" w:cs="宋体"/>
          <w:sz w:val="24"/>
          <w:lang w:val="zh-CN"/>
        </w:rPr>
        <w:t>展区提供鸟瞰图各两张（对角方向），三维彩色效果图按约</w:t>
      </w:r>
      <w:r>
        <w:rPr>
          <w:rFonts w:hint="eastAsia" w:ascii="宋体" w:hAnsi="宋体" w:eastAsia="宋体" w:cs="宋体"/>
          <w:sz w:val="24"/>
        </w:rPr>
        <w:t>200</w:t>
      </w:r>
      <w:r>
        <w:rPr>
          <w:rFonts w:hint="eastAsia" w:ascii="宋体" w:hAnsi="宋体" w:eastAsia="宋体" w:cs="宋体"/>
          <w:sz w:val="24"/>
          <w:lang w:val="zh-CN"/>
        </w:rPr>
        <w:t>㎡一张的比例绘制，效果图应充分表现各</w:t>
      </w:r>
      <w:r>
        <w:rPr>
          <w:rFonts w:hint="eastAsia" w:ascii="宋体" w:hAnsi="宋体" w:eastAsia="宋体" w:cs="宋体"/>
          <w:sz w:val="24"/>
        </w:rPr>
        <w:t>分</w:t>
      </w:r>
      <w:r>
        <w:rPr>
          <w:rFonts w:hint="eastAsia" w:ascii="宋体" w:hAnsi="宋体" w:eastAsia="宋体" w:cs="宋体"/>
          <w:sz w:val="24"/>
          <w:lang w:val="zh-CN"/>
        </w:rPr>
        <w:t>展区的总体氛围和主要展项所处的环境效果。</w:t>
      </w:r>
    </w:p>
    <w:p>
      <w:pPr>
        <w:widowControl/>
        <w:numPr>
          <w:ilvl w:val="0"/>
          <w:numId w:val="17"/>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lang w:val="zh-CN"/>
        </w:rPr>
        <w:t>导览系统、指示牌及过渡标识设计图。展台、展板及场景、背景墙设计图。</w:t>
      </w:r>
    </w:p>
    <w:p>
      <w:pPr>
        <w:widowControl/>
        <w:numPr>
          <w:ilvl w:val="0"/>
          <w:numId w:val="17"/>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lang w:val="zh-CN"/>
        </w:rPr>
        <w:t>结构设计图，包含隔墙、封闭小屋等设计图。</w:t>
      </w:r>
    </w:p>
    <w:p>
      <w:pPr>
        <w:widowControl/>
        <w:numPr>
          <w:ilvl w:val="0"/>
          <w:numId w:val="17"/>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rPr>
        <w:t>综合布线图。</w:t>
      </w:r>
    </w:p>
    <w:p>
      <w:pPr>
        <w:widowControl/>
        <w:numPr>
          <w:ilvl w:val="0"/>
          <w:numId w:val="17"/>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lang w:val="zh-CN"/>
        </w:rPr>
        <w:t>安装基础图；展项配套设备投影仪、显示器等的安装结构图。</w:t>
      </w:r>
    </w:p>
    <w:p>
      <w:pPr>
        <w:widowControl/>
        <w:numPr>
          <w:ilvl w:val="0"/>
          <w:numId w:val="17"/>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lang w:val="zh-CN"/>
        </w:rPr>
        <w:t>电气类（强电、弱电及网线等的平面图、系统图）。</w:t>
      </w:r>
      <w:r>
        <w:rPr>
          <w:rFonts w:hint="eastAsia" w:ascii="宋体" w:hAnsi="宋体" w:eastAsia="宋体" w:cs="宋体"/>
          <w:sz w:val="24"/>
        </w:rPr>
        <w:t>效果照明布置图，</w:t>
      </w:r>
      <w:r>
        <w:rPr>
          <w:rFonts w:hint="eastAsia" w:ascii="宋体" w:hAnsi="宋体" w:eastAsia="宋体" w:cs="宋体"/>
          <w:sz w:val="24"/>
          <w:lang w:val="zh-CN"/>
        </w:rPr>
        <w:t>灯光效果及灯光控制系统设计方案、音效、智能化说明。管道类（供气、供排水等的平面图、系统图）。系统设备总体用电量要求。</w:t>
      </w:r>
    </w:p>
    <w:p>
      <w:pPr>
        <w:widowControl/>
        <w:numPr>
          <w:ilvl w:val="0"/>
          <w:numId w:val="17"/>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lang w:val="zh-CN"/>
        </w:rPr>
        <w:t>所需设备、材料、元器件明细清单，包括但不限于：材料明细表（包含种类、技术规格、品牌等）；硬件设备的品牌、技术参数与技术规格；硬件、软件、系统的价格分析表；需要的备品、备件。</w:t>
      </w:r>
    </w:p>
    <w:p>
      <w:pPr>
        <w:pStyle w:val="24"/>
        <w:autoSpaceDE w:val="0"/>
        <w:autoSpaceDN w:val="0"/>
        <w:adjustRightInd w:val="0"/>
        <w:snapToGrid w:val="0"/>
        <w:spacing w:line="360" w:lineRule="auto"/>
        <w:ind w:firstLine="480"/>
        <w:rPr>
          <w:rFonts w:ascii="宋体" w:hAnsi="宋体" w:eastAsia="宋体" w:cs="宋体"/>
          <w:kern w:val="0"/>
          <w:sz w:val="24"/>
        </w:rPr>
      </w:pPr>
      <w:r>
        <w:rPr>
          <w:rFonts w:hint="eastAsia" w:ascii="宋体" w:hAnsi="宋体" w:eastAsia="宋体" w:cs="宋体"/>
          <w:kern w:val="0"/>
          <w:sz w:val="24"/>
        </w:rPr>
        <w:t>3、</w:t>
      </w:r>
      <w:r>
        <w:rPr>
          <w:rFonts w:hint="eastAsia" w:ascii="宋体" w:hAnsi="宋体" w:eastAsia="宋体" w:cs="宋体"/>
          <w:kern w:val="0"/>
          <w:sz w:val="24"/>
          <w:lang w:val="zh-CN"/>
        </w:rPr>
        <w:t>展项</w:t>
      </w:r>
      <w:r>
        <w:rPr>
          <w:rFonts w:hint="eastAsia" w:ascii="宋体" w:hAnsi="宋体" w:eastAsia="宋体" w:cs="宋体"/>
          <w:kern w:val="0"/>
          <w:sz w:val="24"/>
        </w:rPr>
        <w:t>设计</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文本文件</w:t>
      </w:r>
    </w:p>
    <w:p>
      <w:pPr>
        <w:numPr>
          <w:ilvl w:val="0"/>
          <w:numId w:val="18"/>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lang w:val="zh-CN"/>
        </w:rPr>
        <w:t>完整的展项清单。展项的编号及名称，所反映的科学原理、观众的体验及目标群体、</w:t>
      </w:r>
      <w:r>
        <w:rPr>
          <w:rFonts w:hint="eastAsia" w:ascii="宋体" w:hAnsi="宋体" w:eastAsia="宋体" w:cs="宋体"/>
          <w:sz w:val="24"/>
        </w:rPr>
        <w:t>展项重量、互动方式、</w:t>
      </w:r>
      <w:r>
        <w:rPr>
          <w:rFonts w:hint="eastAsia" w:ascii="宋体" w:hAnsi="宋体" w:eastAsia="宋体" w:cs="宋体"/>
          <w:sz w:val="24"/>
          <w:lang w:val="zh-CN"/>
        </w:rPr>
        <w:t>使用操作说明。</w:t>
      </w:r>
    </w:p>
    <w:p>
      <w:pPr>
        <w:widowControl/>
        <w:numPr>
          <w:ilvl w:val="0"/>
          <w:numId w:val="18"/>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rPr>
        <w:t>展项的技术路线及制造难点。</w:t>
      </w:r>
    </w:p>
    <w:p>
      <w:pPr>
        <w:widowControl/>
        <w:numPr>
          <w:ilvl w:val="0"/>
          <w:numId w:val="18"/>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rPr>
        <w:t>展项图文板的设计。</w:t>
      </w:r>
    </w:p>
    <w:p>
      <w:pPr>
        <w:widowControl/>
        <w:numPr>
          <w:ilvl w:val="0"/>
          <w:numId w:val="18"/>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lang w:val="zh-CN"/>
        </w:rPr>
        <w:t>多媒体内容脚本与互动说明。</w:t>
      </w:r>
    </w:p>
    <w:p>
      <w:pPr>
        <w:numPr>
          <w:ilvl w:val="0"/>
          <w:numId w:val="18"/>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lang w:val="zh-CN"/>
        </w:rPr>
        <w:t>展品的视频</w:t>
      </w:r>
      <w:r>
        <w:rPr>
          <w:rFonts w:hint="eastAsia" w:ascii="宋体" w:hAnsi="宋体" w:eastAsia="宋体" w:cs="宋体"/>
          <w:sz w:val="24"/>
        </w:rPr>
        <w:t>或</w:t>
      </w:r>
      <w:r>
        <w:rPr>
          <w:rFonts w:hint="eastAsia" w:ascii="宋体" w:hAnsi="宋体" w:eastAsia="宋体" w:cs="宋体"/>
          <w:sz w:val="24"/>
          <w:lang w:val="zh-CN"/>
        </w:rPr>
        <w:t>动画演示</w:t>
      </w:r>
      <w:r>
        <w:rPr>
          <w:rFonts w:hint="eastAsia" w:ascii="宋体" w:hAnsi="宋体" w:eastAsia="宋体" w:cs="宋体"/>
          <w:sz w:val="24"/>
        </w:rPr>
        <w:t>脚本</w:t>
      </w:r>
      <w:r>
        <w:rPr>
          <w:rFonts w:hint="eastAsia" w:ascii="宋体" w:hAnsi="宋体" w:eastAsia="宋体" w:cs="宋体"/>
          <w:sz w:val="24"/>
          <w:lang w:val="zh-CN"/>
        </w:rPr>
        <w:t>、图片、说明文本、展项讲解词</w:t>
      </w:r>
      <w:r>
        <w:rPr>
          <w:rFonts w:hint="eastAsia" w:ascii="宋体" w:hAnsi="宋体" w:eastAsia="宋体" w:cs="宋体"/>
          <w:sz w:val="24"/>
        </w:rPr>
        <w:t>等</w:t>
      </w:r>
      <w:r>
        <w:rPr>
          <w:rFonts w:hint="eastAsia" w:ascii="宋体" w:hAnsi="宋体" w:eastAsia="宋体" w:cs="宋体"/>
          <w:sz w:val="24"/>
          <w:lang w:val="zh-CN"/>
        </w:rPr>
        <w:t>。</w:t>
      </w:r>
    </w:p>
    <w:p>
      <w:pPr>
        <w:widowControl/>
        <w:numPr>
          <w:ilvl w:val="0"/>
          <w:numId w:val="18"/>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rPr>
        <w:t>主要设备、材料型号与规格清单。</w:t>
      </w:r>
    </w:p>
    <w:p>
      <w:pPr>
        <w:numPr>
          <w:ilvl w:val="0"/>
          <w:numId w:val="18"/>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lang w:val="zh-CN"/>
        </w:rPr>
        <w:t>展项对建筑系统的</w:t>
      </w:r>
      <w:r>
        <w:rPr>
          <w:rFonts w:hint="eastAsia" w:ascii="宋体" w:hAnsi="宋体" w:eastAsia="宋体" w:cs="宋体"/>
          <w:sz w:val="24"/>
        </w:rPr>
        <w:t>需求</w:t>
      </w:r>
      <w:r>
        <w:rPr>
          <w:rFonts w:hint="eastAsia" w:ascii="宋体" w:hAnsi="宋体" w:eastAsia="宋体" w:cs="宋体"/>
          <w:sz w:val="24"/>
          <w:lang w:val="zh-CN"/>
        </w:rPr>
        <w:t>，包括：强电、弱电、供气、供水、网络、荷载以及空间等各方面的技术参数</w:t>
      </w:r>
      <w:r>
        <w:rPr>
          <w:rFonts w:hint="eastAsia" w:ascii="宋体" w:hAnsi="宋体" w:eastAsia="宋体" w:cs="宋体"/>
          <w:sz w:val="24"/>
        </w:rPr>
        <w:t>需求。</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color w:val="000000"/>
          <w:kern w:val="0"/>
          <w:sz w:val="24"/>
        </w:rPr>
        <w:t>图纸文件</w:t>
      </w:r>
    </w:p>
    <w:p>
      <w:pPr>
        <w:widowControl/>
        <w:numPr>
          <w:ilvl w:val="0"/>
          <w:numId w:val="19"/>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rPr>
        <w:t>总装图、核心结构图（体现关键技术参数与工艺说明）。</w:t>
      </w:r>
    </w:p>
    <w:p>
      <w:pPr>
        <w:widowControl/>
        <w:numPr>
          <w:ilvl w:val="0"/>
          <w:numId w:val="19"/>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lang w:val="zh-CN"/>
        </w:rPr>
        <w:t>展项彩色三维效果图、</w:t>
      </w:r>
      <w:r>
        <w:rPr>
          <w:rFonts w:hint="eastAsia" w:ascii="宋体" w:hAnsi="宋体" w:eastAsia="宋体" w:cs="宋体"/>
          <w:sz w:val="24"/>
        </w:rPr>
        <w:t>三视图</w:t>
      </w:r>
      <w:r>
        <w:rPr>
          <w:rFonts w:hint="eastAsia" w:ascii="宋体" w:hAnsi="宋体" w:eastAsia="宋体" w:cs="宋体"/>
          <w:sz w:val="24"/>
          <w:lang w:val="zh-CN"/>
        </w:rPr>
        <w:t>（标明关键尺寸）。</w:t>
      </w:r>
    </w:p>
    <w:p>
      <w:pPr>
        <w:widowControl/>
        <w:numPr>
          <w:ilvl w:val="0"/>
          <w:numId w:val="19"/>
        </w:numPr>
        <w:adjustRightInd w:val="0"/>
        <w:snapToGrid w:val="0"/>
        <w:spacing w:line="360" w:lineRule="auto"/>
        <w:ind w:left="0" w:firstLine="480" w:firstLineChars="200"/>
        <w:rPr>
          <w:rFonts w:ascii="宋体" w:hAnsi="宋体" w:eastAsia="宋体" w:cs="宋体"/>
          <w:sz w:val="24"/>
          <w:lang w:val="zh-CN"/>
        </w:rPr>
      </w:pPr>
      <w:r>
        <w:rPr>
          <w:rFonts w:hint="eastAsia" w:ascii="宋体" w:hAnsi="宋体" w:eastAsia="宋体" w:cs="宋体"/>
          <w:sz w:val="24"/>
        </w:rPr>
        <w:t>安装基础图及要求说明。</w:t>
      </w:r>
    </w:p>
    <w:p>
      <w:pPr>
        <w:widowControl/>
        <w:numPr>
          <w:ilvl w:val="0"/>
          <w:numId w:val="19"/>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电气框图、电气原理图、控制信号流程图、主要材料清单、主要设备清单</w:t>
      </w:r>
      <w:r>
        <w:rPr>
          <w:rFonts w:hint="eastAsia" w:ascii="宋体" w:hAnsi="宋体" w:eastAsia="宋体" w:cs="宋体"/>
          <w:sz w:val="24"/>
          <w:lang w:val="zh-CN"/>
        </w:rPr>
        <w:t>等。</w:t>
      </w:r>
    </w:p>
    <w:p>
      <w:pPr>
        <w:widowControl/>
        <w:numPr>
          <w:ilvl w:val="0"/>
          <w:numId w:val="19"/>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展项内灯光的系统图、效果说明。</w:t>
      </w:r>
    </w:p>
    <w:p>
      <w:pPr>
        <w:widowControl/>
        <w:numPr>
          <w:ilvl w:val="0"/>
          <w:numId w:val="19"/>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液压、气动系统原理图、水系统图（如有）。</w:t>
      </w:r>
    </w:p>
    <w:p>
      <w:pPr>
        <w:widowControl/>
        <w:numPr>
          <w:ilvl w:val="0"/>
          <w:numId w:val="19"/>
        </w:numPr>
        <w:adjustRightInd w:val="0"/>
        <w:snapToGrid w:val="0"/>
        <w:spacing w:line="360" w:lineRule="auto"/>
        <w:ind w:left="0" w:firstLine="480" w:firstLineChars="200"/>
        <w:rPr>
          <w:rFonts w:ascii="宋体" w:hAnsi="宋体" w:eastAsia="宋体" w:cs="宋体"/>
          <w:kern w:val="0"/>
          <w:sz w:val="24"/>
          <w:lang w:val="zh-CN"/>
        </w:rPr>
      </w:pPr>
      <w:r>
        <w:rPr>
          <w:rFonts w:hint="eastAsia" w:ascii="宋体" w:hAnsi="宋体" w:eastAsia="宋体" w:cs="宋体"/>
          <w:sz w:val="24"/>
        </w:rPr>
        <w:t>3dmax</w:t>
      </w:r>
      <w:r>
        <w:rPr>
          <w:rFonts w:hint="eastAsia" w:ascii="宋体" w:hAnsi="宋体" w:eastAsia="宋体" w:cs="宋体"/>
          <w:sz w:val="24"/>
          <w:lang w:val="zh-CN"/>
        </w:rPr>
        <w:t>模型。</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4、布局参观流线设计</w:t>
      </w:r>
    </w:p>
    <w:p>
      <w:pPr>
        <w:adjustRightInd w:val="0"/>
        <w:snapToGrid w:val="0"/>
        <w:spacing w:line="360" w:lineRule="auto"/>
        <w:ind w:firstLine="480" w:firstLineChars="200"/>
        <w:rPr>
          <w:rFonts w:ascii="宋体" w:hAnsi="宋体" w:eastAsia="宋体" w:cs="宋体"/>
          <w:sz w:val="24"/>
          <w:lang w:val="zh-CN"/>
        </w:rPr>
      </w:pPr>
      <w:r>
        <w:rPr>
          <w:rFonts w:hint="eastAsia" w:ascii="宋体" w:hAnsi="宋体" w:eastAsia="宋体" w:cs="宋体"/>
          <w:sz w:val="24"/>
        </w:rPr>
        <w:t>1）</w:t>
      </w:r>
      <w:r>
        <w:rPr>
          <w:rFonts w:hint="eastAsia" w:ascii="宋体" w:hAnsi="宋体" w:eastAsia="宋体" w:cs="宋体"/>
          <w:sz w:val="24"/>
          <w:lang w:val="zh-CN"/>
        </w:rPr>
        <w:t>参观体验路线设计</w:t>
      </w:r>
      <w:r>
        <w:rPr>
          <w:rFonts w:hint="eastAsia" w:ascii="宋体" w:hAnsi="宋体" w:eastAsia="宋体" w:cs="宋体"/>
          <w:sz w:val="24"/>
        </w:rPr>
        <w:t>文件。</w:t>
      </w:r>
    </w:p>
    <w:p>
      <w:pPr>
        <w:adjustRightInd w:val="0"/>
        <w:snapToGrid w:val="0"/>
        <w:spacing w:line="360" w:lineRule="auto"/>
        <w:ind w:firstLine="480" w:firstLineChars="200"/>
        <w:rPr>
          <w:rFonts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参观流线图、紧急疏散流线图，展区游览效果动画。</w:t>
      </w:r>
    </w:p>
    <w:p>
      <w:pPr>
        <w:widowControl/>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5、</w:t>
      </w:r>
      <w:r>
        <w:rPr>
          <w:rFonts w:hint="eastAsia" w:ascii="宋体" w:hAnsi="宋体" w:eastAsia="宋体" w:cs="宋体"/>
          <w:color w:val="000000"/>
          <w:kern w:val="0"/>
          <w:sz w:val="24"/>
        </w:rPr>
        <w:t>概算文件</w:t>
      </w:r>
    </w:p>
    <w:p>
      <w:pPr>
        <w:numPr>
          <w:ilvl w:val="0"/>
          <w:numId w:val="20"/>
        </w:numPr>
        <w:adjustRightInd w:val="0"/>
        <w:snapToGrid w:val="0"/>
        <w:spacing w:line="360" w:lineRule="auto"/>
        <w:ind w:left="0" w:firstLine="480" w:firstLineChars="200"/>
        <w:rPr>
          <w:rFonts w:ascii="宋体" w:hAnsi="宋体" w:eastAsia="宋体" w:cs="宋体"/>
          <w:kern w:val="0"/>
          <w:sz w:val="24"/>
          <w:lang w:val="zh-CN"/>
        </w:rPr>
      </w:pPr>
      <w:r>
        <w:rPr>
          <w:rFonts w:hint="eastAsia" w:ascii="宋体" w:hAnsi="宋体" w:eastAsia="宋体" w:cs="宋体"/>
          <w:color w:val="000000"/>
          <w:kern w:val="0"/>
          <w:sz w:val="24"/>
        </w:rPr>
        <w:t>布展概算书。</w:t>
      </w:r>
      <w:r>
        <w:rPr>
          <w:rFonts w:hint="eastAsia" w:ascii="宋体" w:hAnsi="宋体" w:eastAsia="宋体" w:cs="宋体"/>
          <w:kern w:val="0"/>
          <w:sz w:val="24"/>
        </w:rPr>
        <w:t>展厅的综合单价分析表、</w:t>
      </w:r>
      <w:r>
        <w:rPr>
          <w:rFonts w:hint="eastAsia" w:ascii="宋体" w:hAnsi="宋体" w:eastAsia="宋体" w:cs="宋体"/>
          <w:kern w:val="0"/>
          <w:sz w:val="24"/>
          <w:lang w:val="zh-CN"/>
        </w:rPr>
        <w:t>分部分项工程量清单报价明细表。</w:t>
      </w:r>
    </w:p>
    <w:p>
      <w:pPr>
        <w:numPr>
          <w:ilvl w:val="0"/>
          <w:numId w:val="20"/>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展项概算书。</w:t>
      </w:r>
      <w:r>
        <w:rPr>
          <w:rFonts w:hint="eastAsia" w:ascii="宋体" w:hAnsi="宋体" w:eastAsia="宋体" w:cs="宋体"/>
          <w:kern w:val="0"/>
          <w:sz w:val="24"/>
          <w:lang w:val="zh-CN"/>
        </w:rPr>
        <w:t>展项的实体部分、非实体部分（多媒体、计算机程序等）</w:t>
      </w:r>
      <w:r>
        <w:rPr>
          <w:rFonts w:hint="eastAsia" w:ascii="宋体" w:hAnsi="宋体" w:eastAsia="宋体" w:cs="宋体"/>
          <w:sz w:val="24"/>
        </w:rPr>
        <w:t>概算</w:t>
      </w:r>
      <w:r>
        <w:rPr>
          <w:rFonts w:hint="eastAsia" w:ascii="宋体" w:hAnsi="宋体" w:eastAsia="宋体" w:cs="宋体"/>
          <w:kern w:val="0"/>
          <w:sz w:val="24"/>
          <w:lang w:val="zh-CN"/>
        </w:rPr>
        <w:t>。</w:t>
      </w:r>
    </w:p>
    <w:p>
      <w:pPr>
        <w:numPr>
          <w:ilvl w:val="0"/>
          <w:numId w:val="21"/>
        </w:num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中标人完成项目设计并通过评审后进行技术交底，并对后续的深化设计与展品制作提供指导服务。</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三、付款</w:t>
      </w:r>
    </w:p>
    <w:p>
      <w:pPr>
        <w:numPr>
          <w:ilvl w:val="0"/>
          <w:numId w:val="22"/>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合同签订后、中标人提供发票后30日内，</w:t>
      </w:r>
      <w:r>
        <w:rPr>
          <w:rFonts w:hint="eastAsia" w:ascii="宋体" w:hAnsi="宋体" w:eastAsia="宋体" w:cs="宋体"/>
          <w:sz w:val="24"/>
          <w:lang w:val="en-US" w:eastAsia="zh-CN"/>
        </w:rPr>
        <w:t>招标人申请</w:t>
      </w:r>
      <w:r>
        <w:rPr>
          <w:rFonts w:hint="eastAsia" w:ascii="宋体" w:hAnsi="宋体" w:eastAsia="宋体" w:cs="宋体"/>
          <w:sz w:val="24"/>
        </w:rPr>
        <w:t>支付中标人合同金额的50%作为首付款。</w:t>
      </w:r>
    </w:p>
    <w:p>
      <w:pPr>
        <w:numPr>
          <w:ilvl w:val="0"/>
          <w:numId w:val="22"/>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中标人设计完毕，通过招标人组织的相关评审验收合格、中标人提供发票后30日内，招标人</w:t>
      </w:r>
      <w:r>
        <w:rPr>
          <w:rFonts w:hint="eastAsia" w:ascii="宋体" w:hAnsi="宋体" w:eastAsia="宋体" w:cs="宋体"/>
          <w:sz w:val="24"/>
          <w:lang w:val="en-US" w:eastAsia="zh-CN"/>
        </w:rPr>
        <w:t>申请</w:t>
      </w:r>
      <w:r>
        <w:rPr>
          <w:rFonts w:hint="eastAsia" w:ascii="宋体" w:hAnsi="宋体" w:eastAsia="宋体" w:cs="宋体"/>
          <w:sz w:val="24"/>
        </w:rPr>
        <w:t>支付50%的合同款。</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四、验收</w:t>
      </w:r>
    </w:p>
    <w:p>
      <w:pPr>
        <w:numPr>
          <w:ilvl w:val="0"/>
          <w:numId w:val="23"/>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验收在深圳市科学馆进行。</w:t>
      </w:r>
    </w:p>
    <w:p>
      <w:pPr>
        <w:numPr>
          <w:ilvl w:val="0"/>
          <w:numId w:val="23"/>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中标人提出验收申请并向招标人移交设计成果，包括展厅内容方案，展品展项清单与设计图纸，动线规划，布展设计。</w:t>
      </w:r>
    </w:p>
    <w:p>
      <w:pPr>
        <w:numPr>
          <w:ilvl w:val="0"/>
          <w:numId w:val="23"/>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招标人将按照招标文件和中标人投标文件中要求与承诺，组织专家对设计成果进行评审，中标人按照意见进行修改完善获得招标人认可后视为验收合格。</w:t>
      </w:r>
    </w:p>
    <w:p>
      <w:pPr>
        <w:pStyle w:val="5"/>
      </w:pPr>
    </w:p>
    <w:p>
      <w:pPr>
        <w:numPr>
          <w:ilvl w:val="0"/>
          <w:numId w:val="2"/>
        </w:numPr>
        <w:adjustRightInd w:val="0"/>
        <w:snapToGrid w:val="0"/>
        <w:spacing w:line="360" w:lineRule="auto"/>
        <w:ind w:firstLine="482" w:firstLineChars="200"/>
        <w:jc w:val="center"/>
        <w:rPr>
          <w:rFonts w:ascii="宋体" w:hAnsi="宋体" w:eastAsia="宋体" w:cs="宋体"/>
          <w:b/>
          <w:bCs/>
          <w:sz w:val="24"/>
        </w:rPr>
      </w:pPr>
      <w:r>
        <w:rPr>
          <w:rFonts w:hint="eastAsia" w:ascii="宋体" w:hAnsi="宋体" w:eastAsia="宋体" w:cs="宋体"/>
          <w:b/>
          <w:bCs/>
          <w:sz w:val="24"/>
        </w:rPr>
        <w:t>保留的权利</w:t>
      </w:r>
    </w:p>
    <w:p>
      <w:pPr>
        <w:pStyle w:val="5"/>
      </w:pPr>
    </w:p>
    <w:p>
      <w:pPr>
        <w:numPr>
          <w:ilvl w:val="0"/>
          <w:numId w:val="24"/>
        </w:num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深圳市科学馆有权因招标需求、资金预算变化等因素推迟、更改、取消本次招标活动。</w:t>
      </w:r>
    </w:p>
    <w:p>
      <w:pPr>
        <w:numPr>
          <w:ilvl w:val="0"/>
          <w:numId w:val="24"/>
        </w:num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对于存在或可能存在知识产权权利归属方面瑕疵的投标文件，深圳市科学馆有权单方面取消该投标人投标文件的评审资格。</w:t>
      </w:r>
    </w:p>
    <w:p>
      <w:pPr>
        <w:numPr>
          <w:ilvl w:val="0"/>
          <w:numId w:val="24"/>
        </w:num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深圳市科学馆保留对本次招标活动的解释权。</w:t>
      </w:r>
    </w:p>
    <w:p>
      <w:pPr>
        <w:pStyle w:val="5"/>
      </w:pPr>
    </w:p>
    <w:p>
      <w:pPr>
        <w:numPr>
          <w:ilvl w:val="0"/>
          <w:numId w:val="2"/>
        </w:numPr>
        <w:adjustRightInd w:val="0"/>
        <w:snapToGrid w:val="0"/>
        <w:spacing w:line="360" w:lineRule="auto"/>
        <w:ind w:firstLine="482" w:firstLineChars="200"/>
        <w:jc w:val="center"/>
        <w:rPr>
          <w:rFonts w:ascii="宋体" w:hAnsi="宋体" w:eastAsia="宋体" w:cs="宋体"/>
          <w:b/>
          <w:bCs/>
          <w:sz w:val="24"/>
        </w:rPr>
      </w:pPr>
      <w:r>
        <w:rPr>
          <w:rFonts w:hint="eastAsia" w:ascii="宋体" w:hAnsi="宋体" w:eastAsia="宋体" w:cs="宋体"/>
          <w:b/>
          <w:bCs/>
          <w:sz w:val="24"/>
        </w:rPr>
        <w:t>附件</w:t>
      </w:r>
    </w:p>
    <w:p>
      <w:pPr>
        <w:adjustRightInd w:val="0"/>
        <w:snapToGrid w:val="0"/>
        <w:spacing w:line="360" w:lineRule="auto"/>
        <w:ind w:firstLine="480" w:firstLineChars="200"/>
        <w:rPr>
          <w:rFonts w:ascii="宋体" w:hAnsi="宋体" w:eastAsia="宋体" w:cs="宋体"/>
          <w:sz w:val="24"/>
        </w:rPr>
      </w:pPr>
    </w:p>
    <w:p>
      <w:pPr>
        <w:adjustRightInd w:val="0"/>
        <w:snapToGrid w:val="0"/>
        <w:spacing w:line="360" w:lineRule="auto"/>
        <w:ind w:firstLine="480" w:firstLineChars="200"/>
        <w:rPr>
          <w:rFonts w:ascii="宋体" w:hAnsi="宋体" w:eastAsia="宋体" w:cs="宋体"/>
          <w:bCs/>
          <w:color w:val="000000"/>
          <w:sz w:val="24"/>
        </w:rPr>
      </w:pPr>
      <w:r>
        <w:rPr>
          <w:rFonts w:hint="eastAsia" w:ascii="宋体" w:hAnsi="宋体" w:eastAsia="宋体" w:cs="宋体"/>
          <w:sz w:val="24"/>
        </w:rPr>
        <w:t>附件一：</w:t>
      </w:r>
      <w:r>
        <w:rPr>
          <w:rFonts w:hint="eastAsia" w:ascii="宋体" w:hAnsi="宋体" w:eastAsia="宋体" w:cs="宋体"/>
          <w:bCs/>
          <w:color w:val="000000"/>
          <w:sz w:val="24"/>
        </w:rPr>
        <w:t>深圳市科学馆</w:t>
      </w:r>
      <w:r>
        <w:rPr>
          <w:rFonts w:hint="eastAsia" w:ascii="宋体" w:hAnsi="宋体" w:eastAsia="宋体" w:cs="宋体"/>
          <w:sz w:val="24"/>
        </w:rPr>
        <w:t>探索展厅平面图（另附）</w:t>
      </w:r>
    </w:p>
    <w:p>
      <w:pPr>
        <w:adjustRightInd w:val="0"/>
        <w:snapToGrid w:val="0"/>
        <w:spacing w:line="360" w:lineRule="auto"/>
        <w:ind w:firstLine="480" w:firstLineChars="200"/>
        <w:rPr>
          <w:rFonts w:ascii="宋体" w:hAnsi="宋体" w:eastAsia="宋体" w:cs="宋体"/>
          <w:bCs/>
          <w:color w:val="000000"/>
          <w:sz w:val="24"/>
        </w:rPr>
      </w:pPr>
      <w:r>
        <w:rPr>
          <w:rFonts w:hint="eastAsia" w:ascii="宋体" w:hAnsi="宋体" w:eastAsia="宋体" w:cs="宋体"/>
          <w:bCs/>
          <w:color w:val="000000"/>
          <w:sz w:val="24"/>
        </w:rPr>
        <w:t>附件二：深圳市科学馆探索展厅更新改造设计方案评分表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附件三：商务标相关文件模板</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附件四：合同条款</w:t>
      </w:r>
    </w:p>
    <w:p>
      <w:pPr>
        <w:rPr>
          <w:sz w:val="30"/>
          <w:szCs w:val="30"/>
        </w:rPr>
      </w:pPr>
      <w:r>
        <w:rPr>
          <w:rFonts w:hint="eastAsia"/>
          <w:sz w:val="30"/>
          <w:szCs w:val="30"/>
        </w:rPr>
        <w:br w:type="page"/>
      </w:r>
    </w:p>
    <w:p>
      <w:pPr>
        <w:rPr>
          <w:rFonts w:ascii="宋体" w:hAnsi="宋体" w:eastAsia="宋体" w:cs="宋体"/>
          <w:bCs/>
          <w:color w:val="000000"/>
          <w:sz w:val="24"/>
        </w:rPr>
      </w:pPr>
      <w:r>
        <w:rPr>
          <w:rFonts w:hint="eastAsia" w:ascii="宋体" w:hAnsi="宋体" w:eastAsia="宋体" w:cs="宋体"/>
          <w:sz w:val="24"/>
        </w:rPr>
        <w:t>附件一：</w:t>
      </w:r>
      <w:r>
        <w:rPr>
          <w:rFonts w:hint="eastAsia" w:ascii="宋体" w:hAnsi="宋体" w:eastAsia="宋体" w:cs="宋体"/>
          <w:bCs/>
          <w:color w:val="000000"/>
          <w:sz w:val="24"/>
        </w:rPr>
        <w:t>深圳市科学馆</w:t>
      </w:r>
      <w:r>
        <w:rPr>
          <w:rFonts w:hint="eastAsia" w:ascii="宋体" w:hAnsi="宋体" w:eastAsia="宋体" w:cs="宋体"/>
          <w:sz w:val="24"/>
        </w:rPr>
        <w:t>探索展厅平面图（另附）</w:t>
      </w:r>
    </w:p>
    <w:p/>
    <w:p>
      <w:pPr>
        <w:pStyle w:val="2"/>
      </w:pPr>
    </w:p>
    <w:p/>
    <w:p>
      <w:pPr>
        <w:pStyle w:val="2"/>
      </w:pPr>
    </w:p>
    <w:p/>
    <w:p>
      <w:pPr>
        <w:pStyle w:val="2"/>
      </w:pPr>
    </w:p>
    <w:p/>
    <w:p>
      <w:pPr>
        <w:pStyle w:val="2"/>
      </w:pPr>
    </w:p>
    <w:p/>
    <w:p>
      <w:pPr>
        <w:pStyle w:val="2"/>
      </w:pPr>
    </w:p>
    <w:p/>
    <w:p>
      <w:pPr>
        <w:pStyle w:val="2"/>
      </w:pPr>
    </w:p>
    <w:p/>
    <w:p>
      <w:pPr>
        <w:pStyle w:val="2"/>
      </w:pPr>
    </w:p>
    <w:p/>
    <w:p/>
    <w:p>
      <w:pPr>
        <w:pStyle w:val="2"/>
      </w:pPr>
    </w:p>
    <w:p/>
    <w:p>
      <w:pPr>
        <w:pStyle w:val="2"/>
      </w:pPr>
    </w:p>
    <w:p/>
    <w:p>
      <w:pPr>
        <w:pStyle w:val="2"/>
      </w:pPr>
    </w:p>
    <w:p/>
    <w:p>
      <w:pPr>
        <w:pStyle w:val="2"/>
      </w:pPr>
    </w:p>
    <w:p/>
    <w:p/>
    <w:p>
      <w:pPr>
        <w:rPr>
          <w:rFonts w:ascii="宋体" w:hAnsi="宋体" w:eastAsia="宋体" w:cs="宋体"/>
          <w:bCs/>
          <w:color w:val="000000"/>
          <w:sz w:val="24"/>
        </w:rPr>
      </w:pPr>
      <w:r>
        <w:rPr>
          <w:rFonts w:hint="eastAsia" w:ascii="宋体" w:hAnsi="宋体" w:eastAsia="宋体" w:cs="宋体"/>
          <w:bCs/>
          <w:color w:val="000000"/>
          <w:sz w:val="24"/>
        </w:rPr>
        <w:t>附件二：深圳市科学馆探索展厅更新改造设计方案评分表</w:t>
      </w:r>
    </w:p>
    <w:tbl>
      <w:tblPr>
        <w:tblStyle w:val="15"/>
        <w:tblW w:w="9281" w:type="dxa"/>
        <w:jc w:val="center"/>
        <w:tblCellSpacing w:w="0" w:type="dxa"/>
        <w:tblLayout w:type="autofit"/>
        <w:tblCellMar>
          <w:top w:w="45" w:type="dxa"/>
          <w:left w:w="45" w:type="dxa"/>
          <w:bottom w:w="45" w:type="dxa"/>
          <w:right w:w="45" w:type="dxa"/>
        </w:tblCellMar>
      </w:tblPr>
      <w:tblGrid>
        <w:gridCol w:w="9281"/>
      </w:tblGrid>
      <w:tr>
        <w:tblPrEx>
          <w:tblCellMar>
            <w:top w:w="45" w:type="dxa"/>
            <w:left w:w="45" w:type="dxa"/>
            <w:bottom w:w="45" w:type="dxa"/>
            <w:right w:w="45" w:type="dxa"/>
          </w:tblCellMar>
        </w:tblPrEx>
        <w:trPr>
          <w:tblCellSpacing w:w="0" w:type="dxa"/>
          <w:jc w:val="center"/>
        </w:trPr>
        <w:tc>
          <w:tcPr>
            <w:tcW w:w="0" w:type="auto"/>
            <w:tcBorders>
              <w:top w:val="nil"/>
              <w:left w:val="nil"/>
              <w:bottom w:val="nil"/>
              <w:right w:val="nil"/>
            </w:tcBorders>
            <w:vAlign w:val="center"/>
          </w:tcPr>
          <w:tbl>
            <w:tblPr>
              <w:tblStyle w:val="1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550"/>
              <w:gridCol w:w="1647"/>
              <w:gridCol w:w="791"/>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序号</w:t>
                  </w:r>
                </w:p>
              </w:tc>
              <w:tc>
                <w:tcPr>
                  <w:tcW w:w="2988" w:type="dxa"/>
                  <w:gridSpan w:val="3"/>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评分项</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1</w:t>
                  </w:r>
                </w:p>
              </w:tc>
              <w:tc>
                <w:tcPr>
                  <w:tcW w:w="2988" w:type="dxa"/>
                  <w:gridSpan w:val="3"/>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价格</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2</w:t>
                  </w:r>
                </w:p>
              </w:tc>
              <w:tc>
                <w:tcPr>
                  <w:tcW w:w="2988" w:type="dxa"/>
                  <w:gridSpan w:val="3"/>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技术</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22" w:type="dxa"/>
                  <w:vMerge w:val="restart"/>
                  <w:tcBorders>
                    <w:top w:val="single" w:color="auto" w:sz="4" w:space="0"/>
                    <w:left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行号</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内容</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权重</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522" w:type="dxa"/>
                  <w:vMerge w:val="continue"/>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1</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内容方案</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16</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评审内容：1、方案内容科学性；2、内容间的逻辑性；3、内容的落地性。</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优：14～16分。</w:t>
                  </w:r>
                </w:p>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良：9～13分。</w:t>
                  </w:r>
                </w:p>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中：4～8分。</w:t>
                  </w:r>
                </w:p>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差：0～3分。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22" w:type="dxa"/>
                  <w:vMerge w:val="continue"/>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2</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展品展项设计</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16</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评审内容：1、展项清单完整、数量符合要求；2、展项与方案内容相适应，能体现相关的展示内容；3、展项设计图齐全，表意清楚；4、展项设计的创新性。</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优：14～16分。</w:t>
                  </w:r>
                </w:p>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良：9～13分。</w:t>
                  </w:r>
                </w:p>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中：4～8分。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差：0～3分。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22" w:type="dxa"/>
                  <w:vMerge w:val="continue"/>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3</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布展设计、动线规划</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8</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评审内容：1、布展设计与展示内容的统一性；2、布展图纸清楚明白、表达设计意图；3、动线合理。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优：7～8分。</w:t>
                  </w:r>
                </w:p>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良：4～6分。</w:t>
                  </w:r>
                </w:p>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中：1～3分。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22" w:type="dxa"/>
                  <w:vMerge w:val="continue"/>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4</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环境、安全、可维护性</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7</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评审内容：1、通风；2、采光；3、声学；4、安全；5可维护性。</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优：6～7分。</w:t>
                  </w:r>
                </w:p>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良：4～5分。</w:t>
                  </w:r>
                </w:p>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中：1～3分。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22" w:type="dxa"/>
                  <w:vMerge w:val="continue"/>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5</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后续服务承诺</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3</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出具相关承诺书。</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优：3分。</w:t>
                  </w:r>
                </w:p>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良：2分。</w:t>
                  </w:r>
                </w:p>
                <w:p>
                  <w:pPr>
                    <w:adjustRightInd w:val="0"/>
                    <w:snapToGrid w:val="0"/>
                    <w:spacing w:beforeLines="50" w:afterLines="50"/>
                    <w:jc w:val="left"/>
                    <w:rPr>
                      <w:rFonts w:ascii="宋体" w:hAnsi="宋体" w:eastAsia="宋体" w:cs="宋体"/>
                      <w:b/>
                      <w:i/>
                      <w:szCs w:val="21"/>
                      <w:u w:val="single"/>
                    </w:rPr>
                  </w:pPr>
                  <w:r>
                    <w:rPr>
                      <w:rFonts w:hint="eastAsia" w:ascii="宋体" w:hAnsi="宋体" w:eastAsia="宋体" w:cs="宋体"/>
                      <w:szCs w:val="21"/>
                    </w:rPr>
                    <w:t>中：1分。</w:t>
                  </w:r>
                </w:p>
                <w:p>
                  <w:pPr>
                    <w:pStyle w:val="2"/>
                  </w:pPr>
                  <w:r>
                    <w:rPr>
                      <w:rFonts w:hint="eastAsia" w:cs="宋体"/>
                      <w:szCs w:val="21"/>
                    </w:rPr>
                    <w:t>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3</w:t>
                  </w:r>
                </w:p>
              </w:tc>
              <w:tc>
                <w:tcPr>
                  <w:tcW w:w="2988" w:type="dxa"/>
                  <w:gridSpan w:val="3"/>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综合实力</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522" w:type="dxa"/>
                  <w:vMerge w:val="restart"/>
                  <w:tcBorders>
                    <w:top w:val="single" w:color="auto" w:sz="4" w:space="0"/>
                    <w:left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行号</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内容</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权重</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1</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投标人通过相关认证情况</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1</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（一）评分内容：</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投标人具有由国家认证认可监督管理部门批准设立的认证机构颁发并在有效期内的质量管理体系认证证书、环境管理体系认证证书、职业健康管理体系认证证书，全部具有的得1分；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注：须提供证书复印件并加盖投标人公章。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2</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投标人同类项目业绩情况</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2</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（一）评分内容：</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投标人2016年1月1日至今参与的科技馆展示设计业绩，每具有一个项目业绩1分，满分2分。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注：提供中标通知书或合同关键页扫描件并加盖公章，原件备查，未提供或提供的不符合或提供不清晰导致无法判断的均不得分。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3</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投标人资质情况</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2</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（一）评分内容：</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具有中国展览馆协会颁发的展览陈列工程设计与施工一体化资质得2分，否则0分。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投标文件中提供有效证书复印件，否则不予计分。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4</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拟安排的主设计师（总策划）情况（仅限一人）</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6</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（一）评分内容：</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1.数学学科相关学科背景或从业经验2分；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2.博士及以上学位或高级以上职称2分；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3.科技馆展示设计或管理经验，得2分。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（二）评分依据：</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1.要求提供投标人相关证明资料作为得分依据。</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2.以上资料均要求提供扫描件（或官方网站截图），原件备查。评分中出现无证明资料或专家无法凭所提供资料判断是否得分的情况，一律作不得分处理。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3.如涉及考察人员工作经验，要求提供项目合同关键信息作为得分依据，通过合同关键信息无法判断是否得分的，还须同时提供合同甲方出具的证明文件。</w:t>
                  </w:r>
                </w:p>
                <w:p>
                  <w:pPr>
                    <w:pStyle w:val="2"/>
                  </w:pPr>
                  <w:r>
                    <w:rPr>
                      <w:rFonts w:hint="eastAsia" w:cs="宋体"/>
                      <w:szCs w:val="21"/>
                    </w:rPr>
                    <w:t>4.可以是外聘兼职人员或是外聘顾问，但必须提供专门为此项目实际参与主设计（主策划）的服务合同或顾问协议。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5</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拟安排的项目主要团队成员（主要技术人员）情况（项目负责人除外）</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6</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（一）评分内容：</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列出不超过2人的简历参与评分。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1.数学学科相关学科背景或从业经验1分；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2.科技馆行业3年以上（合同或社保证明）工作经验1分；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3.科技馆展示设计项目参与经验1分。</w:t>
                  </w:r>
                </w:p>
                <w:p>
                  <w:pPr>
                    <w:pStyle w:val="5"/>
                    <w:adjustRightInd w:val="0"/>
                    <w:snapToGrid w:val="0"/>
                    <w:spacing w:beforeLines="50" w:afterLines="50"/>
                    <w:ind w:firstLine="0"/>
                    <w:rPr>
                      <w:rFonts w:ascii="宋体" w:hAnsi="宋体" w:eastAsia="宋体" w:cs="宋体"/>
                      <w:sz w:val="21"/>
                      <w:szCs w:val="21"/>
                    </w:rPr>
                  </w:pPr>
                  <w:r>
                    <w:rPr>
                      <w:rFonts w:hint="eastAsia" w:ascii="宋体" w:hAnsi="宋体" w:eastAsia="宋体" w:cs="宋体"/>
                      <w:sz w:val="21"/>
                      <w:szCs w:val="21"/>
                    </w:rPr>
                    <w:t>每人单独计算。</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（二）评分依据：</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1.要求提供投标人相关证明资料作为得分依据。</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2.以上资料均要求提供扫描件（或官方网站截图），原件备查。评分中出现无证明资料或专家无法凭所提供资料判断是否得分的情况，一律作不得分处理。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3.如涉及考察人员工作经验，要求提供项目合同关键信息作为得分依据，通过合同关键信息无法判断是否得分的，还须同时提供合同甲方出具的证明文件。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6</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投标人自主知识产权产品（创新、设计）情况</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2</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（一）评分内容：</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投标人自2011年1月1日至今每获得一项发明专利授权得1分，本项满分2分。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需提供发明专利的授权证书或其他授权证明文件(发明专利申请书或实用新型专利证书或外观专利证书除外)的复印件或扫描件并加投标人盖公章,原件备查。时间以取得证书时间为准。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7</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环保执行情况</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1</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要求投标人就是否受过环保主管部门行政处罚作为得分依据；以投标人在投标文件中提供的承诺作为依据；若隐瞒情况虚假应标将导致投标无效并报主管部门处理。采取客观化评分；受过行政处罚不得分。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8</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服务网点</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2</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1、深圳供应商，或非深圳供应商但在深圳有合法注册的分公司（或售后机构）（分公司的必须提供分公司营业执照扫描件，售后机构必须同时提供售后服务合作合同及售后机构营业执照扫描件作为得分依据，原件备查）的，得2分；否则不得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2、外地供应商承诺：中标后设立本地经营（服务）网点的，提供承诺文件（格式自定）的，得</w:t>
                  </w:r>
                  <w:r>
                    <w:rPr>
                      <w:rFonts w:hint="eastAsia" w:ascii="宋体" w:hAnsi="宋体" w:eastAsia="宋体" w:cs="宋体"/>
                      <w:szCs w:val="21"/>
                      <w:u w:val="single"/>
                    </w:rPr>
                    <w:t>1</w:t>
                  </w:r>
                  <w:r>
                    <w:rPr>
                      <w:rFonts w:hint="eastAsia" w:ascii="宋体" w:hAnsi="宋体" w:eastAsia="宋体" w:cs="宋体"/>
                      <w:szCs w:val="21"/>
                    </w:rPr>
                    <w:t>分；未提供承诺或承诺内容不满足要求均不得分。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4</w:t>
                  </w:r>
                </w:p>
              </w:tc>
              <w:tc>
                <w:tcPr>
                  <w:tcW w:w="2988" w:type="dxa"/>
                  <w:gridSpan w:val="3"/>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疫情防控</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序号</w:t>
                  </w:r>
                </w:p>
              </w:tc>
              <w:tc>
                <w:tcPr>
                  <w:tcW w:w="1647"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评分因素</w:t>
                  </w:r>
                </w:p>
              </w:tc>
              <w:tc>
                <w:tcPr>
                  <w:tcW w:w="791"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权重</w:t>
                  </w:r>
                </w:p>
              </w:tc>
              <w:tc>
                <w:tcPr>
                  <w:tcW w:w="5529"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tcBorders>
                    <w:left w:val="single" w:color="auto" w:sz="4" w:space="0"/>
                    <w:right w:val="single" w:color="auto" w:sz="4" w:space="0"/>
                  </w:tcBorders>
                  <w:vAlign w:val="center"/>
                </w:tcPr>
                <w:p>
                  <w:pPr>
                    <w:widowControl/>
                    <w:adjustRightInd w:val="0"/>
                    <w:snapToGrid w:val="0"/>
                    <w:spacing w:beforeLines="50" w:afterLines="50"/>
                    <w:jc w:val="left"/>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1</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稳岗企业</w:t>
                  </w:r>
                </w:p>
              </w:tc>
              <w:tc>
                <w:tcPr>
                  <w:tcW w:w="791"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3</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未裁员或裁员率低于20%的企业，即投标前一个月实际参加社会保险（至少包括养老保险）的员工人数（含免缴或延期缴纳社会保险人数）不低于 2019 年 12 月同口径人数 80%（含）的企业，视为稳岗企业，提供自身符合稳岗企业条件的承诺函即可获得评审得分。</w:t>
                  </w:r>
                </w:p>
                <w:p>
                  <w:pPr>
                    <w:adjustRightInd w:val="0"/>
                    <w:snapToGrid w:val="0"/>
                    <w:spacing w:beforeLines="50" w:afterLines="50"/>
                    <w:jc w:val="left"/>
                    <w:rPr>
                      <w:rFonts w:ascii="宋体" w:hAnsi="宋体" w:eastAsia="宋体" w:cs="宋体"/>
                      <w:szCs w:val="21"/>
                    </w:rPr>
                  </w:pPr>
                  <w:r>
                    <w:rPr>
                      <w:rFonts w:hint="eastAsia" w:ascii="宋体" w:hAnsi="宋体" w:eastAsia="宋体" w:cs="宋体"/>
                      <w:szCs w:val="21"/>
                    </w:rPr>
                    <w:t>投标人提供虚假承诺的，将做无效投标处理，涉嫌存在违法违规行为的，依法报主管部门处理处罚。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bookmarkStart w:id="0" w:name="InsertEnd"/>
                  <w:bookmarkEnd w:id="0"/>
                  <w:r>
                    <w:rPr>
                      <w:rFonts w:hint="eastAsia" w:ascii="宋体" w:hAnsi="宋体" w:eastAsia="宋体" w:cs="宋体"/>
                      <w:szCs w:val="21"/>
                    </w:rPr>
                    <w:t>5</w:t>
                  </w:r>
                </w:p>
              </w:tc>
              <w:tc>
                <w:tcPr>
                  <w:tcW w:w="2988" w:type="dxa"/>
                  <w:gridSpan w:val="3"/>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诚信情况</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restart"/>
                  <w:tcBorders>
                    <w:top w:val="single" w:color="auto" w:sz="4" w:space="0"/>
                    <w:left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序号</w:t>
                  </w:r>
                </w:p>
              </w:tc>
              <w:tc>
                <w:tcPr>
                  <w:tcW w:w="1647"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评分因素</w:t>
                  </w:r>
                </w:p>
              </w:tc>
              <w:tc>
                <w:tcPr>
                  <w:tcW w:w="791"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权重</w:t>
                  </w:r>
                </w:p>
              </w:tc>
              <w:tc>
                <w:tcPr>
                  <w:tcW w:w="5529"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tcPr>
                <w:p>
                  <w:pPr>
                    <w:adjustRightInd w:val="0"/>
                    <w:snapToGrid w:val="0"/>
                    <w:spacing w:beforeLines="50" w:afterLines="50"/>
                    <w:jc w:val="center"/>
                    <w:rPr>
                      <w:rFonts w:ascii="宋体" w:hAnsi="宋体" w:eastAsia="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wordWrap w:val="0"/>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1</w:t>
                  </w:r>
                </w:p>
              </w:tc>
              <w:tc>
                <w:tcPr>
                  <w:tcW w:w="16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rPr>
                      <w:rFonts w:ascii="宋体" w:hAnsi="宋体" w:eastAsia="宋体" w:cs="宋体"/>
                      <w:szCs w:val="21"/>
                    </w:rPr>
                  </w:pPr>
                  <w:r>
                    <w:rPr>
                      <w:rFonts w:hint="eastAsia" w:ascii="宋体" w:hAnsi="宋体" w:eastAsia="宋体" w:cs="宋体"/>
                      <w:szCs w:val="21"/>
                    </w:rPr>
                    <w:t>市财政局诚信管理情况</w:t>
                  </w:r>
                </w:p>
              </w:tc>
              <w:tc>
                <w:tcPr>
                  <w:tcW w:w="791" w:type="dxa"/>
                  <w:tcBorders>
                    <w:top w:val="single" w:color="auto" w:sz="4" w:space="0"/>
                    <w:left w:val="single" w:color="auto" w:sz="4" w:space="0"/>
                    <w:bottom w:val="single" w:color="auto" w:sz="4" w:space="0"/>
                    <w:right w:val="single" w:color="auto" w:sz="4" w:space="0"/>
                  </w:tcBorders>
                </w:tcPr>
                <w:p>
                  <w:pPr>
                    <w:wordWrap w:val="0"/>
                    <w:adjustRightInd w:val="0"/>
                    <w:snapToGrid w:val="0"/>
                    <w:spacing w:beforeLines="50" w:afterLines="50"/>
                    <w:jc w:val="center"/>
                    <w:rPr>
                      <w:rFonts w:ascii="宋体" w:hAnsi="宋体" w:eastAsia="宋体" w:cs="宋体"/>
                      <w:szCs w:val="21"/>
                    </w:rPr>
                  </w:pPr>
                  <w:r>
                    <w:rPr>
                      <w:rFonts w:hint="eastAsia" w:ascii="宋体" w:hAnsi="宋体" w:eastAsia="宋体" w:cs="宋体"/>
                      <w:szCs w:val="21"/>
                    </w:rPr>
                    <w:t>5</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Lines="50"/>
                    <w:rPr>
                      <w:rFonts w:ascii="宋体" w:hAnsi="宋体" w:eastAsia="宋体" w:cs="宋体"/>
                      <w:szCs w:val="21"/>
                    </w:rPr>
                  </w:pPr>
                  <w:r>
                    <w:rPr>
                      <w:rFonts w:hint="eastAsia" w:ascii="宋体" w:hAnsi="宋体" w:eastAsia="宋体" w:cs="宋体"/>
                      <w:szCs w:val="21"/>
                    </w:rPr>
                    <w:t>依据相关规定：投标人因违法违规被记入诚信档案且在有效期内的，不得分；不存在此类情况的，或虽受过行政处罚但修正行政处罚期已满，得满分。</w:t>
                  </w:r>
                </w:p>
                <w:p>
                  <w:pPr>
                    <w:adjustRightInd w:val="0"/>
                    <w:snapToGrid w:val="0"/>
                    <w:spacing w:beforeLines="50" w:afterLines="50"/>
                    <w:rPr>
                      <w:rFonts w:ascii="宋体" w:hAnsi="宋体" w:eastAsia="宋体" w:cs="宋体"/>
                      <w:szCs w:val="21"/>
                    </w:rPr>
                  </w:pPr>
                  <w:r>
                    <w:rPr>
                      <w:rFonts w:hint="eastAsia" w:ascii="宋体" w:hAnsi="宋体" w:eastAsia="宋体" w:cs="宋体"/>
                      <w:szCs w:val="21"/>
                    </w:rPr>
                    <w:t>注：以提供《承诺函》为准，未按要求提供或提供不清晰的不得分。</w:t>
                  </w:r>
                </w:p>
              </w:tc>
            </w:tr>
          </w:tbl>
          <w:p/>
        </w:tc>
      </w:tr>
    </w:tbl>
    <w:p>
      <w:pPr>
        <w:pStyle w:val="5"/>
      </w:pPr>
    </w:p>
    <w:p>
      <w:pPr>
        <w:numPr>
          <w:ilvl w:val="255"/>
          <w:numId w:val="0"/>
        </w:numPr>
        <w:adjustRightInd w:val="0"/>
        <w:snapToGrid w:val="0"/>
        <w:spacing w:line="360" w:lineRule="auto"/>
        <w:jc w:val="left"/>
        <w:rPr>
          <w:rFonts w:ascii="宋体" w:hAnsi="宋体" w:eastAsia="宋体" w:cs="宋体"/>
          <w:szCs w:val="21"/>
        </w:rPr>
      </w:pPr>
      <w:r>
        <w:rPr>
          <w:rFonts w:hint="eastAsia" w:ascii="宋体" w:hAnsi="宋体" w:eastAsia="宋体" w:cs="宋体"/>
          <w:szCs w:val="21"/>
        </w:rPr>
        <w:t>备注：</w:t>
      </w:r>
    </w:p>
    <w:p>
      <w:pPr>
        <w:numPr>
          <w:ilvl w:val="0"/>
          <w:numId w:val="25"/>
        </w:numPr>
        <w:adjustRightInd w:val="0"/>
        <w:snapToGrid w:val="0"/>
        <w:spacing w:line="360" w:lineRule="auto"/>
        <w:jc w:val="left"/>
        <w:rPr>
          <w:rFonts w:ascii="宋体" w:hAnsi="宋体" w:eastAsia="宋体" w:cs="宋体"/>
          <w:szCs w:val="21"/>
        </w:rPr>
      </w:pPr>
      <w:r>
        <w:rPr>
          <w:rFonts w:hint="eastAsia" w:ascii="宋体" w:hAnsi="宋体" w:eastAsia="宋体" w:cs="宋体"/>
          <w:szCs w:val="21"/>
        </w:rPr>
        <w:t>价格、技术、商务部分累加分为100分，各投标人得分精确到小数点后两位。</w:t>
      </w:r>
    </w:p>
    <w:p>
      <w:pPr>
        <w:numPr>
          <w:ilvl w:val="0"/>
          <w:numId w:val="25"/>
        </w:numPr>
        <w:adjustRightInd w:val="0"/>
        <w:snapToGrid w:val="0"/>
        <w:spacing w:line="360" w:lineRule="auto"/>
        <w:jc w:val="left"/>
        <w:rPr>
          <w:rFonts w:ascii="宋体" w:hAnsi="宋体" w:eastAsia="宋体" w:cs="宋体"/>
          <w:szCs w:val="21"/>
        </w:rPr>
      </w:pPr>
      <w:r>
        <w:rPr>
          <w:rFonts w:hint="eastAsia" w:ascii="宋体" w:hAnsi="宋体" w:eastAsia="宋体" w:cs="宋体"/>
          <w:szCs w:val="21"/>
        </w:rPr>
        <w:t>综合评分法中的价格分统一采用低价优先法计算，即满足招标文件要求（通过资格、符合性审查）且投标价格最低的有效投标报价（指价格核准后的价格，下同）为评标基准价，其价格得分为满分。其他投标人的价格得分统一按照下列公式计算：价格得分=(评标基准价/投标报价)×价格权重×100</w:t>
      </w:r>
    </w:p>
    <w:p>
      <w:pPr>
        <w:numPr>
          <w:ilvl w:val="0"/>
          <w:numId w:val="25"/>
        </w:numPr>
        <w:adjustRightInd w:val="0"/>
        <w:snapToGrid w:val="0"/>
        <w:spacing w:line="360" w:lineRule="auto"/>
        <w:jc w:val="left"/>
        <w:rPr>
          <w:rFonts w:ascii="宋体" w:hAnsi="宋体" w:eastAsia="宋体" w:cs="宋体"/>
          <w:szCs w:val="21"/>
        </w:rPr>
      </w:pPr>
      <w:r>
        <w:rPr>
          <w:rFonts w:hint="eastAsia" w:ascii="宋体" w:hAnsi="宋体" w:eastAsia="宋体" w:cs="宋体"/>
          <w:szCs w:val="21"/>
        </w:rPr>
        <w:t>投标总报价最高限价50万元人民币，超过此报价的投标文件将作为废标处理。</w:t>
      </w:r>
    </w:p>
    <w:p>
      <w:pPr>
        <w:rPr>
          <w:rFonts w:ascii="仿宋" w:hAnsi="仿宋" w:eastAsia="仿宋" w:cs="仿宋"/>
          <w:sz w:val="28"/>
          <w:szCs w:val="28"/>
        </w:rPr>
      </w:pPr>
      <w:r>
        <w:rPr>
          <w:rFonts w:hint="eastAsia" w:ascii="仿宋" w:hAnsi="仿宋" w:eastAsia="仿宋" w:cs="仿宋"/>
          <w:sz w:val="28"/>
          <w:szCs w:val="28"/>
        </w:rPr>
        <w:br w:type="page"/>
      </w:r>
      <w:r>
        <w:rPr>
          <w:rFonts w:hint="eastAsia" w:ascii="宋体" w:hAnsi="宋体" w:eastAsia="宋体" w:cs="宋体"/>
          <w:sz w:val="24"/>
        </w:rPr>
        <w:t>附件三：商务标相关文件模板</w:t>
      </w:r>
    </w:p>
    <w:p>
      <w:pPr>
        <w:pStyle w:val="2"/>
        <w:jc w:val="center"/>
        <w:rPr>
          <w:rFonts w:ascii="黑体" w:eastAsia="黑体"/>
          <w:sz w:val="24"/>
        </w:rPr>
      </w:pPr>
      <w:r>
        <w:rPr>
          <w:rFonts w:hint="eastAsia" w:ascii="黑体" w:eastAsia="黑体"/>
          <w:sz w:val="24"/>
        </w:rPr>
        <w:t>一、投标函</w:t>
      </w:r>
    </w:p>
    <w:p>
      <w:pPr>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深圳市科学馆</w:t>
      </w:r>
    </w:p>
    <w:p>
      <w:pPr>
        <w:spacing w:afterLines="50"/>
        <w:ind w:firstLine="420" w:firstLineChars="200"/>
        <w:rPr>
          <w:szCs w:val="21"/>
        </w:rPr>
      </w:pPr>
      <w:r>
        <w:rPr>
          <w:rFonts w:hint="eastAsia" w:ascii="宋体" w:hAnsi="宋体"/>
          <w:szCs w:val="21"/>
        </w:rPr>
        <w:t>1.</w:t>
      </w:r>
      <w:r>
        <w:rPr>
          <w:rFonts w:hint="eastAsia"/>
          <w:szCs w:val="21"/>
        </w:rPr>
        <w:t>根据已收到贵方的</w:t>
      </w:r>
      <w:r>
        <w:rPr>
          <w:rFonts w:hint="eastAsia"/>
          <w:szCs w:val="21"/>
          <w:u w:val="single"/>
        </w:rPr>
        <w:t xml:space="preserve"> 深圳市科学馆探索展厅更新改造设计及服务 </w:t>
      </w:r>
      <w:r>
        <w:rPr>
          <w:rFonts w:hint="eastAsia"/>
          <w:szCs w:val="21"/>
        </w:rPr>
        <w:t>项目的招标文件，遵照《深圳经济特区政府采购条例》和《深圳网上政府采购管理暂行办法》等有关规定，我单位经研究上述招标文件的条款后，我方愿以投标报价</w:t>
      </w:r>
      <w:r>
        <w:rPr>
          <w:rFonts w:hint="eastAsia"/>
          <w:szCs w:val="21"/>
          <w:u w:val="single"/>
        </w:rPr>
        <w:t xml:space="preserve">    （元）</w:t>
      </w:r>
      <w:r>
        <w:rPr>
          <w:rFonts w:hint="eastAsia"/>
          <w:szCs w:val="21"/>
        </w:rPr>
        <w:t>并按招标文件要求承包上述项目并修补其任何缺陷。</w:t>
      </w:r>
    </w:p>
    <w:p>
      <w:pPr>
        <w:spacing w:afterLines="50"/>
        <w:ind w:firstLine="420" w:firstLineChars="200"/>
        <w:rPr>
          <w:szCs w:val="21"/>
        </w:rPr>
      </w:pPr>
      <w:r>
        <w:rPr>
          <w:rFonts w:hint="eastAsia" w:ascii="宋体" w:hAnsi="宋体"/>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Lines="50"/>
        <w:ind w:firstLine="420" w:firstLineChars="200"/>
        <w:rPr>
          <w:rFonts w:ascii="宋体" w:hAnsi="宋体"/>
          <w:szCs w:val="21"/>
        </w:rPr>
      </w:pPr>
      <w:r>
        <w:rPr>
          <w:rFonts w:hint="eastAsia" w:ascii="宋体" w:hAnsi="宋体"/>
          <w:szCs w:val="21"/>
        </w:rPr>
        <w:t>3.我方同意所递交的投标文件在投标有效期内有效，在此期间内我方的投标有可能中标，我方将受此约束。</w:t>
      </w:r>
    </w:p>
    <w:p>
      <w:pPr>
        <w:spacing w:afterLines="50"/>
        <w:ind w:firstLine="411" w:firstLineChars="196"/>
        <w:rPr>
          <w:rFonts w:ascii="宋体" w:hAnsi="宋体"/>
          <w:szCs w:val="21"/>
        </w:rPr>
      </w:pPr>
      <w:r>
        <w:rPr>
          <w:rFonts w:hint="eastAsia" w:ascii="宋体" w:hAnsi="宋体"/>
          <w:szCs w:val="21"/>
        </w:rPr>
        <w:t>4.除非另外达成协议并生效，贵方的中标通知书和本投标文件将构成约束我们双方的合同。</w:t>
      </w:r>
    </w:p>
    <w:p>
      <w:pPr>
        <w:spacing w:afterLines="50"/>
        <w:ind w:firstLine="411" w:firstLineChars="196"/>
        <w:rPr>
          <w:rFonts w:ascii="宋体" w:hAnsi="宋体"/>
          <w:szCs w:val="21"/>
        </w:rPr>
      </w:pPr>
      <w:r>
        <w:rPr>
          <w:rFonts w:hint="eastAsia" w:ascii="宋体" w:hAnsi="宋体"/>
          <w:szCs w:val="21"/>
        </w:rPr>
        <w:t>5.我方理解贵方不受必须接受所收到的最低标价或其它任何投标文件的约束。</w:t>
      </w:r>
    </w:p>
    <w:p>
      <w:pPr>
        <w:ind w:left="540" w:leftChars="257"/>
        <w:rPr>
          <w:szCs w:val="21"/>
          <w:u w:val="single"/>
        </w:rPr>
      </w:pPr>
      <w:r>
        <w:rPr>
          <w:rFonts w:hint="eastAsia"/>
          <w:b/>
          <w:szCs w:val="21"/>
        </w:rPr>
        <w:t>投标人：</w:t>
      </w:r>
      <w:r>
        <w:rPr>
          <w:rFonts w:hint="eastAsia"/>
          <w:szCs w:val="21"/>
        </w:rPr>
        <w:t xml:space="preserve">    单位地址：</w:t>
      </w:r>
    </w:p>
    <w:p>
      <w:pPr>
        <w:ind w:left="540" w:leftChars="257"/>
        <w:rPr>
          <w:b/>
          <w:szCs w:val="21"/>
          <w:u w:val="single"/>
        </w:rPr>
      </w:pPr>
      <w:r>
        <w:rPr>
          <w:rFonts w:hint="eastAsia"/>
          <w:b/>
          <w:szCs w:val="21"/>
        </w:rPr>
        <w:t>法定代表人或其委托代理人：</w:t>
      </w:r>
    </w:p>
    <w:p>
      <w:pPr>
        <w:ind w:left="540" w:leftChars="257"/>
        <w:rPr>
          <w:szCs w:val="21"/>
          <w:u w:val="single"/>
        </w:rPr>
      </w:pPr>
      <w:r>
        <w:rPr>
          <w:rFonts w:hint="eastAsia"/>
          <w:szCs w:val="21"/>
        </w:rPr>
        <w:t>邮政编码：  电话：  传真：</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39" w:firstLineChars="257"/>
        <w:rPr>
          <w:sz w:val="24"/>
        </w:rPr>
      </w:pPr>
      <w:r>
        <w:rPr>
          <w:rFonts w:hint="eastAsia" w:ascii="宋体" w:hAnsi="宋体"/>
          <w:szCs w:val="21"/>
        </w:rPr>
        <w:t>日期：年月日</w:t>
      </w:r>
    </w:p>
    <w:p>
      <w:pPr>
        <w:spacing w:afterLines="50"/>
        <w:ind w:firstLine="411" w:firstLineChars="196"/>
        <w:rPr>
          <w:rFonts w:ascii="宋体" w:hAnsi="宋体"/>
          <w:szCs w:val="21"/>
        </w:rPr>
      </w:pPr>
    </w:p>
    <w:p>
      <w:pPr>
        <w:rPr>
          <w:rFonts w:ascii="黑体" w:hAnsi="宋体" w:eastAsia="黑体"/>
        </w:rPr>
      </w:pPr>
    </w:p>
    <w:p>
      <w:pPr>
        <w:rPr>
          <w:rFonts w:ascii="黑体" w:eastAsia="黑体"/>
          <w:kern w:val="0"/>
          <w:sz w:val="24"/>
        </w:rPr>
      </w:pPr>
      <w:r>
        <w:rPr>
          <w:rFonts w:hint="eastAsia" w:ascii="黑体" w:eastAsia="黑体"/>
          <w:kern w:val="0"/>
          <w:sz w:val="24"/>
        </w:rPr>
        <w:br w:type="page"/>
      </w:r>
    </w:p>
    <w:p>
      <w:pPr>
        <w:pStyle w:val="2"/>
        <w:jc w:val="center"/>
        <w:rPr>
          <w:rFonts w:ascii="黑体" w:eastAsia="黑体"/>
          <w:sz w:val="24"/>
        </w:rPr>
      </w:pPr>
      <w:r>
        <w:rPr>
          <w:rFonts w:hint="eastAsia" w:ascii="黑体" w:eastAsia="黑体"/>
          <w:sz w:val="24"/>
        </w:rPr>
        <w:t>二、政府采购投标及履约承诺函</w:t>
      </w:r>
    </w:p>
    <w:p>
      <w:pPr>
        <w:rPr>
          <w:rFonts w:ascii="宋体" w:hAnsi="宋体"/>
          <w:sz w:val="24"/>
        </w:rPr>
      </w:pPr>
    </w:p>
    <w:p>
      <w:pPr>
        <w:rPr>
          <w:rFonts w:ascii="宋体" w:hAnsi="宋体"/>
          <w:szCs w:val="21"/>
        </w:rPr>
      </w:pPr>
      <w:r>
        <w:rPr>
          <w:rFonts w:hint="eastAsia" w:ascii="宋体" w:hAnsi="宋体"/>
          <w:szCs w:val="21"/>
        </w:rPr>
        <w:t>致：</w:t>
      </w:r>
      <w:r>
        <w:rPr>
          <w:rFonts w:hint="eastAsia" w:ascii="宋体" w:hAnsi="宋体"/>
          <w:szCs w:val="21"/>
          <w:u w:val="single"/>
        </w:rPr>
        <w:t xml:space="preserve">深圳市科学馆 </w:t>
      </w:r>
    </w:p>
    <w:p>
      <w:pPr>
        <w:ind w:right="-815" w:firstLine="420" w:firstLineChars="200"/>
        <w:rPr>
          <w:rFonts w:ascii="宋体" w:hAnsi="宋体"/>
          <w:szCs w:val="21"/>
        </w:rPr>
      </w:pPr>
      <w:r>
        <w:rPr>
          <w:rFonts w:hint="eastAsia" w:ascii="宋体" w:hAnsi="宋体"/>
          <w:szCs w:val="21"/>
        </w:rPr>
        <w:t>我公司承诺：</w:t>
      </w:r>
    </w:p>
    <w:p>
      <w:pPr>
        <w:ind w:firstLine="420" w:firstLineChars="200"/>
        <w:rPr>
          <w:rFonts w:ascii="宋体" w:hAnsi="宋体"/>
          <w:szCs w:val="21"/>
        </w:rPr>
      </w:pPr>
      <w:r>
        <w:rPr>
          <w:rFonts w:hint="eastAsia" w:ascii="宋体" w:hAnsi="宋体"/>
          <w:szCs w:val="21"/>
        </w:rPr>
        <w:t>1.我公司本招标项目所提供的货物或服务未侵犯知识产权。</w:t>
      </w:r>
    </w:p>
    <w:p>
      <w:pPr>
        <w:ind w:firstLine="420" w:firstLineChars="200"/>
        <w:rPr>
          <w:rFonts w:ascii="宋体" w:hAnsi="宋体"/>
          <w:szCs w:val="21"/>
        </w:rPr>
      </w:pPr>
      <w:r>
        <w:rPr>
          <w:rFonts w:hint="eastAsia" w:ascii="宋体" w:hAnsi="宋体"/>
          <w:szCs w:val="21"/>
        </w:rPr>
        <w:t>2.我公司参与本项目投标前三年内，在经营活动中没有重大违法记录。</w:t>
      </w:r>
    </w:p>
    <w:p>
      <w:pPr>
        <w:ind w:firstLine="420" w:firstLineChars="200"/>
        <w:rPr>
          <w:rFonts w:ascii="宋体" w:hAnsi="宋体"/>
          <w:szCs w:val="21"/>
        </w:rPr>
      </w:pPr>
      <w:r>
        <w:rPr>
          <w:rFonts w:hint="eastAsia" w:ascii="宋体" w:hAnsi="宋体"/>
          <w:szCs w:val="21"/>
        </w:rPr>
        <w:t>3.我公司参与本项目</w:t>
      </w:r>
      <w:r>
        <w:rPr>
          <w:rFonts w:hint="eastAsia"/>
        </w:rPr>
        <w:t>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4.我公司具备《中华人民共和国政府采购法》第二十二条第一款规定的六项条件。</w:t>
      </w:r>
    </w:p>
    <w:p>
      <w:pPr>
        <w:ind w:firstLine="420" w:firstLineChars="200"/>
        <w:rPr>
          <w:rFonts w:ascii="宋体" w:hAnsi="宋体"/>
          <w:szCs w:val="21"/>
        </w:rPr>
      </w:pPr>
      <w:r>
        <w:rPr>
          <w:rFonts w:hint="eastAsia" w:ascii="宋体" w:hAnsi="宋体"/>
          <w:szCs w:val="21"/>
        </w:rPr>
        <w:t>5.我公司</w:t>
      </w:r>
      <w:r>
        <w:rPr>
          <w:rFonts w:hint="eastAsia"/>
        </w:rPr>
        <w:t>未被列入失信被执行人、重大税收违法案件当事人名单、政府采购严重违法失信行为记录名单。</w:t>
      </w:r>
    </w:p>
    <w:p>
      <w:pPr>
        <w:ind w:firstLine="420" w:firstLineChars="200"/>
        <w:rPr>
          <w:rFonts w:ascii="宋体" w:hAnsi="宋体"/>
          <w:szCs w:val="21"/>
        </w:rPr>
      </w:pPr>
      <w:r>
        <w:rPr>
          <w:rFonts w:hint="eastAsia" w:ascii="宋体" w:hAnsi="宋体"/>
          <w:szCs w:val="21"/>
        </w:rPr>
        <w:t>6.我公司参与该项目投标，严格遵循公平竞争的原则，不恶意串通，不妨碍其他投标人的竞争行为，不损害采购人或者其他投标人的合法权益。我公司已清楚，如违反上述要求，将作投标无效处理。</w:t>
      </w:r>
    </w:p>
    <w:p>
      <w:pPr>
        <w:ind w:firstLine="420" w:firstLineChars="200"/>
        <w:rPr>
          <w:rFonts w:ascii="宋体" w:hAnsi="宋体"/>
          <w:szCs w:val="21"/>
        </w:rPr>
      </w:pPr>
      <w:r>
        <w:rPr>
          <w:rFonts w:hint="eastAsia" w:ascii="宋体" w:hAnsi="宋体"/>
          <w:szCs w:val="21"/>
        </w:rPr>
        <w:t>7.我公司如果中标，</w:t>
      </w:r>
      <w:r>
        <w:rPr>
          <w:rFonts w:hint="eastAsia" w:ascii="宋体" w:hAnsi="宋体"/>
          <w:szCs w:val="21"/>
          <w:lang w:val="en-US" w:eastAsia="zh-CN"/>
        </w:rPr>
        <w:t>将</w:t>
      </w:r>
      <w:r>
        <w:rPr>
          <w:rFonts w:hint="eastAsia" w:ascii="宋体" w:hAnsi="宋体"/>
          <w:szCs w:val="21"/>
        </w:rPr>
        <w:t>做到守信，不偷工减料，依照本项目招标文件需求内容、签署的采购合同及本公司在投标中所作的一切承诺履约。</w:t>
      </w:r>
    </w:p>
    <w:p>
      <w:pPr>
        <w:ind w:firstLine="420" w:firstLineChars="200"/>
        <w:rPr>
          <w:rFonts w:ascii="宋体" w:hAnsi="宋体"/>
          <w:szCs w:val="21"/>
        </w:rPr>
      </w:pPr>
      <w:r>
        <w:rPr>
          <w:rFonts w:hint="eastAsia" w:ascii="宋体" w:hAnsi="宋体"/>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ind w:firstLine="420" w:firstLineChars="200"/>
        <w:rPr>
          <w:rFonts w:ascii="宋体" w:hAnsi="宋体"/>
          <w:szCs w:val="21"/>
        </w:rPr>
      </w:pPr>
      <w:r>
        <w:rPr>
          <w:rFonts w:hint="eastAsia" w:ascii="宋体" w:hAnsi="宋体"/>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ind w:firstLine="420" w:firstLineChars="200"/>
        <w:rPr>
          <w:rFonts w:ascii="宋体" w:hAnsi="宋体"/>
          <w:szCs w:val="21"/>
        </w:rPr>
      </w:pPr>
      <w:r>
        <w:rPr>
          <w:rFonts w:hint="eastAsia" w:ascii="宋体" w:hAnsi="宋体"/>
          <w:szCs w:val="21"/>
        </w:rPr>
        <w:t>10.我公司承诺不非法转包、分包。</w:t>
      </w:r>
    </w:p>
    <w:p>
      <w:pPr>
        <w:ind w:firstLine="420" w:firstLineChars="200"/>
        <w:rPr>
          <w:rFonts w:ascii="宋体" w:hAnsi="宋体"/>
          <w:szCs w:val="21"/>
        </w:rPr>
      </w:pPr>
      <w:r>
        <w:rPr>
          <w:rFonts w:hint="eastAsia" w:ascii="宋体" w:hAnsi="宋体"/>
          <w:szCs w:val="21"/>
        </w:rPr>
        <w:t>以上承诺，如有违反，愿依照国家相关法律处理，并承担由此给采购人带来的损失。</w:t>
      </w:r>
    </w:p>
    <w:p>
      <w:pPr>
        <w:rPr>
          <w:szCs w:val="21"/>
        </w:rPr>
      </w:pPr>
    </w:p>
    <w:p>
      <w:pPr>
        <w:rPr>
          <w:b/>
          <w:color w:val="FF0000"/>
        </w:rPr>
      </w:pPr>
      <w:r>
        <w:rPr>
          <w:rFonts w:hint="eastAsia"/>
          <w:b/>
          <w:szCs w:val="21"/>
        </w:rPr>
        <w:t>投标人：</w:t>
      </w:r>
    </w:p>
    <w:p>
      <w:pPr>
        <w:rPr>
          <w:rFonts w:ascii="宋体" w:hAnsi="宋体"/>
          <w:szCs w:val="21"/>
        </w:rPr>
      </w:pPr>
      <w:r>
        <w:rPr>
          <w:rFonts w:hint="eastAsia" w:ascii="宋体" w:hAnsi="宋体"/>
          <w:szCs w:val="21"/>
        </w:rPr>
        <w:t xml:space="preserve">                                                      日期：年月日</w:t>
      </w:r>
    </w:p>
    <w:p>
      <w:pPr>
        <w:pStyle w:val="2"/>
        <w:jc w:val="center"/>
        <w:rPr>
          <w:rFonts w:ascii="黑体" w:eastAsia="黑体"/>
          <w:sz w:val="24"/>
        </w:rPr>
      </w:pPr>
      <w:r>
        <w:br w:type="page"/>
      </w:r>
      <w:r>
        <w:rPr>
          <w:rFonts w:hint="eastAsia" w:ascii="黑体" w:eastAsia="黑体"/>
          <w:sz w:val="24"/>
        </w:rPr>
        <w:t>一、法定代表人（负责人）资格证明书</w:t>
      </w:r>
    </w:p>
    <w:p>
      <w:pPr>
        <w:rPr>
          <w:sz w:val="24"/>
        </w:rPr>
      </w:pPr>
    </w:p>
    <w:p>
      <w:pPr>
        <w:spacing w:line="360" w:lineRule="auto"/>
        <w:rPr>
          <w:szCs w:val="21"/>
        </w:rPr>
      </w:pPr>
      <w:r>
        <w:rPr>
          <w:rFonts w:hint="eastAsia"/>
          <w:szCs w:val="21"/>
          <w:lang w:val="en-US" w:eastAsia="zh-CN"/>
        </w:rPr>
        <w:t>XXX</w:t>
      </w:r>
      <w:r>
        <w:rPr>
          <w:rFonts w:hint="eastAsia"/>
          <w:szCs w:val="21"/>
        </w:rPr>
        <w:t>同志，现任我单位</w:t>
      </w:r>
      <w:r>
        <w:rPr>
          <w:rFonts w:hint="eastAsia"/>
          <w:szCs w:val="21"/>
          <w:lang w:val="en-US" w:eastAsia="zh-CN"/>
        </w:rPr>
        <w:t xml:space="preserve">    </w:t>
      </w:r>
      <w:r>
        <w:rPr>
          <w:rFonts w:hint="eastAsia"/>
          <w:szCs w:val="21"/>
          <w:u w:val="single"/>
          <w:lang w:eastAsia="zh-CN"/>
        </w:rPr>
        <w:t>（</w:t>
      </w:r>
      <w:r>
        <w:rPr>
          <w:rFonts w:hint="eastAsia"/>
          <w:szCs w:val="21"/>
          <w:u w:val="single"/>
        </w:rPr>
        <w:t>职务</w:t>
      </w:r>
      <w:r>
        <w:rPr>
          <w:rFonts w:hint="eastAsia"/>
          <w:szCs w:val="21"/>
          <w:u w:val="single"/>
          <w:lang w:eastAsia="zh-CN"/>
        </w:rPr>
        <w:t>）</w:t>
      </w:r>
      <w:r>
        <w:rPr>
          <w:rFonts w:hint="eastAsia"/>
          <w:szCs w:val="21"/>
          <w:u w:val="single"/>
          <w:lang w:val="en-US" w:eastAsia="zh-CN"/>
        </w:rPr>
        <w:t xml:space="preserve">  </w:t>
      </w:r>
      <w:r>
        <w:rPr>
          <w:rFonts w:hint="eastAsia"/>
          <w:szCs w:val="21"/>
        </w:rPr>
        <w:t>，为法定代表人</w:t>
      </w:r>
      <w:r>
        <w:rPr>
          <w:rFonts w:hint="eastAsia" w:ascii="黑体" w:eastAsia="黑体"/>
          <w:b/>
          <w:kern w:val="0"/>
          <w:sz w:val="24"/>
        </w:rPr>
        <w:t>（负责人）</w:t>
      </w:r>
      <w:r>
        <w:rPr>
          <w:rFonts w:hint="eastAsia"/>
          <w:szCs w:val="21"/>
        </w:rPr>
        <w:t>，特此证明。</w:t>
      </w:r>
    </w:p>
    <w:p>
      <w:pPr>
        <w:spacing w:line="360" w:lineRule="auto"/>
        <w:rPr>
          <w:szCs w:val="21"/>
        </w:rPr>
      </w:pPr>
      <w:r>
        <w:rPr>
          <w:rFonts w:hint="eastAsia"/>
          <w:szCs w:val="21"/>
        </w:rPr>
        <w:t>说明：1、法定代表人为企业事业单位、国家机关、社会团体的主要负责人。</w:t>
      </w:r>
    </w:p>
    <w:p>
      <w:pPr>
        <w:rPr>
          <w:szCs w:val="21"/>
        </w:rPr>
      </w:pPr>
      <w:r>
        <w:rPr>
          <w:rFonts w:hint="eastAsia"/>
          <w:szCs w:val="21"/>
        </w:rPr>
        <w:t xml:space="preserve">      2、内容必须填写真实、清楚，涂改无效，不得转让、买卖。</w:t>
      </w:r>
    </w:p>
    <w:p>
      <w:pPr>
        <w:spacing w:line="360" w:lineRule="auto"/>
        <w:rPr>
          <w:b/>
          <w:szCs w:val="21"/>
        </w:rPr>
      </w:pPr>
    </w:p>
    <w:p>
      <w:pPr>
        <w:spacing w:line="360" w:lineRule="auto"/>
        <w:rPr>
          <w:b/>
          <w:color w:val="FF0000"/>
          <w:szCs w:val="21"/>
        </w:rPr>
      </w:pPr>
      <w:r>
        <w:rPr>
          <w:rFonts w:hint="eastAsia"/>
          <w:b/>
          <w:szCs w:val="21"/>
        </w:rPr>
        <w:t>附：</w:t>
      </w:r>
      <w:r>
        <w:rPr>
          <w:rFonts w:hint="eastAsia"/>
          <w:b/>
          <w:color w:val="FF0000"/>
          <w:szCs w:val="21"/>
        </w:rPr>
        <w:t>要求必须提供法定代表人（负责人）身份证（境外人员无法提供身份证的，可提供护照）扫描件（正反两面）。</w:t>
      </w:r>
    </w:p>
    <w:p>
      <w:pPr>
        <w:spacing w:line="360" w:lineRule="auto"/>
        <w:rPr>
          <w:b/>
          <w:sz w:val="32"/>
          <w:szCs w:val="32"/>
        </w:rPr>
      </w:pPr>
    </w:p>
    <w:p>
      <w:pPr>
        <w:spacing w:line="360" w:lineRule="auto"/>
        <w:rPr>
          <w:b/>
          <w:sz w:val="32"/>
          <w:szCs w:val="32"/>
        </w:rPr>
      </w:pPr>
    </w:p>
    <w:p>
      <w:pPr>
        <w:pStyle w:val="2"/>
        <w:jc w:val="center"/>
        <w:rPr>
          <w:rFonts w:ascii="黑体" w:eastAsia="黑体"/>
          <w:sz w:val="24"/>
          <w:szCs w:val="24"/>
        </w:rPr>
      </w:pPr>
      <w:r>
        <w:tab/>
      </w:r>
      <w:r>
        <w:rPr>
          <w:rFonts w:hint="eastAsia" w:ascii="黑体" w:eastAsia="黑体"/>
          <w:sz w:val="24"/>
          <w:szCs w:val="24"/>
        </w:rPr>
        <w:t>二、投标文件签署授权委托书</w:t>
      </w:r>
    </w:p>
    <w:p>
      <w:pPr>
        <w:spacing w:line="360" w:lineRule="auto"/>
        <w:ind w:firstLine="420" w:firstLineChars="200"/>
        <w:rPr>
          <w:szCs w:val="21"/>
        </w:rPr>
      </w:pPr>
      <w:r>
        <w:rPr>
          <w:rFonts w:hint="eastAsia"/>
          <w:szCs w:val="21"/>
        </w:rPr>
        <w:t>本授权委托书声明：我（姓名）系（投标供应商名称）的法定代表人</w:t>
      </w:r>
      <w:r>
        <w:rPr>
          <w:rFonts w:hint="eastAsia" w:ascii="黑体" w:eastAsia="黑体"/>
          <w:b/>
          <w:kern w:val="0"/>
          <w:sz w:val="24"/>
        </w:rPr>
        <w:t>（负责人）</w:t>
      </w:r>
      <w:r>
        <w:rPr>
          <w:rFonts w:hint="eastAsia"/>
          <w:szCs w:val="21"/>
        </w:rPr>
        <w:t>，现授权委托（姓名）为我公司签署本项目已递交的投标文件的法定代表人</w:t>
      </w:r>
      <w:r>
        <w:rPr>
          <w:rFonts w:hint="eastAsia" w:ascii="黑体" w:eastAsia="黑体"/>
          <w:b/>
          <w:kern w:val="0"/>
          <w:sz w:val="24"/>
        </w:rPr>
        <w:t>（负责人）</w:t>
      </w:r>
      <w:r>
        <w:rPr>
          <w:rFonts w:hint="eastAsia"/>
          <w:szCs w:val="21"/>
        </w:rPr>
        <w:t>的授权委托代理人，代理人全权代表我所签署的本项目已递交的投标文件内容我均承认。</w:t>
      </w:r>
    </w:p>
    <w:p>
      <w:pPr>
        <w:pStyle w:val="5"/>
        <w:spacing w:line="360" w:lineRule="auto"/>
        <w:rPr>
          <w:szCs w:val="21"/>
        </w:rPr>
      </w:pPr>
      <w:r>
        <w:rPr>
          <w:rFonts w:hint="eastAsia"/>
          <w:szCs w:val="21"/>
        </w:rPr>
        <w:t>代理人无转委托权，特此委托。</w:t>
      </w:r>
    </w:p>
    <w:p>
      <w:pPr>
        <w:pStyle w:val="5"/>
        <w:spacing w:line="360" w:lineRule="auto"/>
        <w:rPr>
          <w:szCs w:val="21"/>
        </w:rPr>
      </w:pPr>
    </w:p>
    <w:p>
      <w:pPr>
        <w:spacing w:line="360" w:lineRule="auto"/>
        <w:ind w:left="540" w:leftChars="257"/>
        <w:rPr>
          <w:b/>
          <w:color w:val="FF0000"/>
          <w:szCs w:val="21"/>
          <w:u w:val="single"/>
        </w:rPr>
      </w:pPr>
      <w:r>
        <w:rPr>
          <w:rFonts w:hint="eastAsia"/>
          <w:b/>
          <w:color w:val="FF0000"/>
          <w:szCs w:val="21"/>
        </w:rPr>
        <w:t>代理人：</w:t>
      </w:r>
    </w:p>
    <w:p>
      <w:pPr>
        <w:spacing w:line="360" w:lineRule="auto"/>
        <w:ind w:left="540" w:leftChars="257"/>
        <w:rPr>
          <w:szCs w:val="21"/>
        </w:rPr>
      </w:pPr>
      <w:r>
        <w:rPr>
          <w:rFonts w:hint="eastAsia"/>
          <w:szCs w:val="21"/>
        </w:rPr>
        <w:t>联系电话：  手机：</w:t>
      </w:r>
    </w:p>
    <w:p>
      <w:pPr>
        <w:spacing w:line="360" w:lineRule="auto"/>
        <w:ind w:left="540" w:leftChars="257"/>
        <w:rPr>
          <w:szCs w:val="21"/>
          <w:u w:val="single"/>
        </w:rPr>
      </w:pPr>
      <w:r>
        <w:rPr>
          <w:rFonts w:hint="eastAsia"/>
          <w:b/>
          <w:color w:val="FF0000"/>
          <w:szCs w:val="21"/>
        </w:rPr>
        <w:t>身份证号码：</w:t>
      </w:r>
      <w:r>
        <w:rPr>
          <w:rFonts w:hint="eastAsia"/>
          <w:szCs w:val="21"/>
        </w:rPr>
        <w:t>职务：</w:t>
      </w:r>
    </w:p>
    <w:p>
      <w:pPr>
        <w:spacing w:line="360" w:lineRule="auto"/>
        <w:ind w:left="540" w:leftChars="257"/>
        <w:rPr>
          <w:szCs w:val="21"/>
        </w:rPr>
      </w:pPr>
      <w:r>
        <w:rPr>
          <w:rFonts w:hint="eastAsia"/>
          <w:szCs w:val="21"/>
        </w:rPr>
        <w:t>授权委托日期：年月 日</w:t>
      </w:r>
    </w:p>
    <w:p>
      <w:pPr>
        <w:spacing w:line="360" w:lineRule="auto"/>
        <w:rPr>
          <w:b/>
          <w:sz w:val="32"/>
          <w:szCs w:val="32"/>
        </w:rPr>
      </w:pPr>
    </w:p>
    <w:p>
      <w:pPr>
        <w:spacing w:line="360" w:lineRule="auto"/>
        <w:rPr>
          <w:b/>
          <w:szCs w:val="21"/>
        </w:rPr>
      </w:pPr>
      <w:r>
        <w:rPr>
          <w:rFonts w:hint="eastAsia"/>
          <w:b/>
          <w:szCs w:val="21"/>
        </w:rPr>
        <w:t>附：</w:t>
      </w:r>
      <w:r>
        <w:rPr>
          <w:rFonts w:hint="eastAsia"/>
          <w:b/>
          <w:color w:val="FF0000"/>
          <w:szCs w:val="21"/>
        </w:rPr>
        <w:t>要求必须提供代理人身份证（境外人员无法提供身份证的，可提供护照）扫描件（正反两面）。</w:t>
      </w:r>
    </w:p>
    <w:p>
      <w:r>
        <w:br w:type="page"/>
      </w:r>
    </w:p>
    <w:p>
      <w:pPr>
        <w:pStyle w:val="5"/>
      </w:pPr>
    </w:p>
    <w:p>
      <w:pPr>
        <w:pStyle w:val="2"/>
        <w:jc w:val="left"/>
        <w:rPr>
          <w:rFonts w:ascii="Times New Roman" w:hAnsi="Times New Roman"/>
          <w:sz w:val="24"/>
          <w:szCs w:val="28"/>
        </w:rPr>
      </w:pPr>
      <w:r>
        <w:rPr>
          <w:rFonts w:hint="eastAsia" w:ascii="Times New Roman" w:hAnsi="Times New Roman"/>
          <w:sz w:val="24"/>
          <w:szCs w:val="28"/>
        </w:rPr>
        <w:t>附件四：合同条款</w:t>
      </w:r>
    </w:p>
    <w:p>
      <w:pPr>
        <w:ind w:firstLine="470" w:firstLineChars="196"/>
        <w:jc w:val="center"/>
        <w:rPr>
          <w:sz w:val="24"/>
        </w:rPr>
      </w:pPr>
      <w:bookmarkStart w:id="1" w:name="_Toc73521592"/>
      <w:bookmarkStart w:id="2" w:name="_Toc100052414"/>
      <w:bookmarkStart w:id="3" w:name="_Toc84303603"/>
      <w:bookmarkStart w:id="4" w:name="_Toc73517685"/>
      <w:bookmarkStart w:id="5" w:name="_Toc73521680"/>
      <w:bookmarkStart w:id="6" w:name="_Toc101074886"/>
      <w:bookmarkStart w:id="7" w:name="_Toc73518163"/>
    </w:p>
    <w:p>
      <w:pPr>
        <w:jc w:val="center"/>
        <w:rPr>
          <w:b/>
          <w:sz w:val="24"/>
        </w:rPr>
      </w:pPr>
      <w:r>
        <w:rPr>
          <w:rFonts w:hint="eastAsia"/>
          <w:b/>
          <w:sz w:val="24"/>
        </w:rPr>
        <w:t>深圳市科学馆探索展厅更新改造设计及服务合同</w:t>
      </w:r>
      <w:bookmarkEnd w:id="1"/>
      <w:bookmarkEnd w:id="2"/>
      <w:bookmarkEnd w:id="3"/>
      <w:bookmarkEnd w:id="4"/>
      <w:bookmarkEnd w:id="5"/>
      <w:bookmarkEnd w:id="6"/>
      <w:bookmarkEnd w:id="7"/>
    </w:p>
    <w:p>
      <w:pPr>
        <w:rPr>
          <w:rFonts w:ascii="宋体" w:hAnsi="宋体"/>
          <w:b/>
          <w:bCs/>
          <w:szCs w:val="21"/>
        </w:rPr>
      </w:pPr>
    </w:p>
    <w:p>
      <w:pPr>
        <w:rPr>
          <w:rFonts w:ascii="宋体" w:hAnsi="宋体"/>
          <w:b/>
          <w:bCs/>
          <w:szCs w:val="21"/>
        </w:rPr>
      </w:pPr>
      <w:r>
        <w:rPr>
          <w:rFonts w:hint="eastAsia" w:ascii="宋体" w:hAnsi="宋体"/>
          <w:b/>
          <w:bCs/>
          <w:szCs w:val="21"/>
        </w:rPr>
        <w:t>甲方：深圳市科学馆</w:t>
      </w:r>
    </w:p>
    <w:p>
      <w:pPr>
        <w:rPr>
          <w:rFonts w:ascii="宋体" w:hAnsi="宋体"/>
          <w:b/>
          <w:bCs/>
          <w:szCs w:val="21"/>
        </w:rPr>
      </w:pPr>
      <w:r>
        <w:rPr>
          <w:rFonts w:hint="eastAsia" w:ascii="宋体" w:hAnsi="宋体"/>
          <w:b/>
          <w:bCs/>
          <w:szCs w:val="21"/>
        </w:rPr>
        <w:t>乙方：</w:t>
      </w:r>
    </w:p>
    <w:p>
      <w:pPr>
        <w:rPr>
          <w:rFonts w:ascii="宋体" w:hAnsi="宋体"/>
          <w:szCs w:val="21"/>
        </w:rPr>
      </w:pPr>
    </w:p>
    <w:p>
      <w:pPr>
        <w:rPr>
          <w:rFonts w:ascii="宋体" w:hAnsi="宋体"/>
          <w:szCs w:val="21"/>
        </w:rPr>
      </w:pPr>
    </w:p>
    <w:p>
      <w:pPr>
        <w:ind w:firstLine="420" w:firstLineChars="200"/>
        <w:rPr>
          <w:rFonts w:ascii="宋体" w:hAnsi="宋体"/>
          <w:szCs w:val="21"/>
        </w:rPr>
      </w:pPr>
      <w:r>
        <w:rPr>
          <w:rFonts w:hint="eastAsia" w:ascii="宋体" w:hAnsi="宋体"/>
          <w:szCs w:val="21"/>
        </w:rPr>
        <w:t>根据深圳市科学馆探索展厅更新改造设计及服务项目招标的投标结果，由单位为中标方。按照《中华人民共和国</w:t>
      </w:r>
      <w:r>
        <w:rPr>
          <w:rFonts w:hint="eastAsia" w:ascii="宋体" w:hAnsi="宋体"/>
          <w:szCs w:val="21"/>
          <w:lang w:val="en-US" w:eastAsia="zh-CN"/>
        </w:rPr>
        <w:t>民法典</w:t>
      </w:r>
      <w:r>
        <w:rPr>
          <w:rFonts w:hint="eastAsia" w:ascii="宋体" w:hAnsi="宋体"/>
          <w:szCs w:val="21"/>
        </w:rPr>
        <w:t>》和《深圳经济特区政府采购条例》，经深圳市</w:t>
      </w:r>
      <w:r>
        <w:rPr>
          <w:rFonts w:hint="eastAsia" w:ascii="宋体" w:hAnsi="宋体"/>
          <w:szCs w:val="21"/>
          <w:u w:val="single"/>
        </w:rPr>
        <w:t>深圳市科学馆</w:t>
      </w:r>
      <w:r>
        <w:rPr>
          <w:rFonts w:hint="eastAsia" w:ascii="宋体" w:hAnsi="宋体"/>
          <w:szCs w:val="21"/>
        </w:rPr>
        <w:t>（以下简称甲方）和单位（以下简称乙方）协商，就甲方委托乙方承担</w:t>
      </w:r>
      <w:r>
        <w:rPr>
          <w:rFonts w:hint="eastAsia" w:ascii="宋体" w:hAnsi="宋体"/>
          <w:b/>
          <w:bCs/>
          <w:snapToGrid w:val="0"/>
          <w:kern w:val="0"/>
          <w:szCs w:val="21"/>
          <w:u w:val="single"/>
          <w:lang w:val="zh-CN"/>
        </w:rPr>
        <w:t>深圳市科学馆探索展厅更新改造设计及服务项目</w:t>
      </w:r>
      <w:r>
        <w:rPr>
          <w:rFonts w:hint="eastAsia" w:ascii="宋体" w:hAnsi="宋体"/>
          <w:szCs w:val="21"/>
        </w:rPr>
        <w:t>，达成以下合同条款：</w:t>
      </w:r>
    </w:p>
    <w:p>
      <w:pPr>
        <w:ind w:firstLine="422" w:firstLineChars="200"/>
        <w:rPr>
          <w:rFonts w:ascii="宋体" w:hAnsi="宋体"/>
          <w:b/>
          <w:bCs/>
          <w:szCs w:val="21"/>
        </w:rPr>
      </w:pPr>
      <w:r>
        <w:rPr>
          <w:rFonts w:hint="eastAsia" w:ascii="宋体" w:hAnsi="宋体"/>
          <w:b/>
          <w:bCs/>
          <w:szCs w:val="21"/>
        </w:rPr>
        <w:t>第一条项目概况</w:t>
      </w:r>
    </w:p>
    <w:p>
      <w:pPr>
        <w:ind w:firstLine="420" w:firstLineChars="200"/>
        <w:rPr>
          <w:rFonts w:ascii="宋体" w:hAnsi="宋体"/>
          <w:szCs w:val="21"/>
        </w:rPr>
      </w:pPr>
      <w:r>
        <w:rPr>
          <w:rFonts w:hint="eastAsia" w:ascii="宋体" w:hAnsi="宋体"/>
          <w:szCs w:val="21"/>
        </w:rPr>
        <w:t>项目名称：深圳市科学馆探索展厅更新改造设计及服务</w:t>
      </w:r>
    </w:p>
    <w:p>
      <w:pPr>
        <w:ind w:firstLine="420" w:firstLineChars="200"/>
        <w:rPr>
          <w:rFonts w:ascii="宋体" w:hAnsi="宋体"/>
          <w:szCs w:val="21"/>
        </w:rPr>
      </w:pPr>
      <w:r>
        <w:rPr>
          <w:rFonts w:hint="eastAsia" w:ascii="宋体" w:hAnsi="宋体"/>
          <w:szCs w:val="21"/>
        </w:rPr>
        <w:t>项目内容：深圳市科学馆探索展厅更新改造设计及服务</w:t>
      </w:r>
    </w:p>
    <w:p>
      <w:pPr>
        <w:ind w:firstLine="420" w:firstLineChars="200"/>
        <w:rPr>
          <w:rFonts w:ascii="宋体" w:hAnsi="宋体"/>
          <w:szCs w:val="21"/>
        </w:rPr>
      </w:pPr>
      <w:r>
        <w:rPr>
          <w:rFonts w:hint="eastAsia" w:ascii="宋体" w:hAnsi="宋体"/>
          <w:szCs w:val="21"/>
        </w:rPr>
        <w:t xml:space="preserve">服务时间： </w:t>
      </w:r>
    </w:p>
    <w:p>
      <w:pPr>
        <w:ind w:firstLine="420" w:firstLineChars="200"/>
        <w:rPr>
          <w:rFonts w:ascii="宋体" w:hAnsi="宋体"/>
          <w:szCs w:val="21"/>
        </w:rPr>
      </w:pPr>
      <w:r>
        <w:rPr>
          <w:rFonts w:hint="eastAsia" w:ascii="宋体" w:hAnsi="宋体"/>
          <w:szCs w:val="21"/>
        </w:rPr>
        <w:t>合同价款：合同总价为</w:t>
      </w:r>
      <w:r>
        <w:rPr>
          <w:rFonts w:hint="eastAsia" w:ascii="宋体" w:hAnsi="宋体"/>
          <w:szCs w:val="21"/>
          <w:lang w:val="en-US" w:eastAsia="zh-CN"/>
        </w:rPr>
        <w:t xml:space="preserve">    </w:t>
      </w:r>
      <w:r>
        <w:rPr>
          <w:rFonts w:hint="eastAsia" w:ascii="宋体" w:hAnsi="宋体"/>
          <w:szCs w:val="21"/>
        </w:rPr>
        <w:t>元，含一切税、费。</w:t>
      </w:r>
      <w:r>
        <w:t>本合同总价包括</w:t>
      </w:r>
      <w:r>
        <w:rPr>
          <w:rFonts w:hint="eastAsia" w:ascii="宋体" w:hAnsi="宋体"/>
          <w:szCs w:val="21"/>
        </w:rPr>
        <w:t>乙方为实施本项目所需的设备仪器费、车辆租赁费、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hint="eastAsia" w:ascii="宋体" w:hAnsi="宋体"/>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pPr>
        <w:pStyle w:val="5"/>
        <w:rPr>
          <w:rFonts w:ascii="宋体" w:hAnsi="宋体"/>
          <w:szCs w:val="21"/>
        </w:rPr>
      </w:pPr>
      <w:r>
        <w:rPr>
          <w:rFonts w:hint="eastAsia" w:ascii="宋体" w:hAnsi="宋体"/>
          <w:szCs w:val="21"/>
        </w:rPr>
        <w:t>支付方式：分期支付。</w:t>
      </w:r>
    </w:p>
    <w:p>
      <w:pPr>
        <w:ind w:firstLine="422" w:firstLineChars="200"/>
        <w:rPr>
          <w:rFonts w:ascii="宋体" w:hAnsi="宋体"/>
          <w:b/>
          <w:bCs/>
          <w:szCs w:val="21"/>
        </w:rPr>
      </w:pPr>
      <w:r>
        <w:rPr>
          <w:rFonts w:hint="eastAsia" w:ascii="宋体" w:hAnsi="宋体"/>
          <w:b/>
          <w:bCs/>
          <w:szCs w:val="21"/>
        </w:rPr>
        <w:t>第二条  服务范围</w:t>
      </w:r>
    </w:p>
    <w:p>
      <w:pPr>
        <w:ind w:firstLine="420" w:firstLineChars="200"/>
        <w:rPr>
          <w:rFonts w:ascii="宋体" w:hAnsi="宋体"/>
          <w:szCs w:val="21"/>
        </w:rPr>
      </w:pPr>
      <w:r>
        <w:rPr>
          <w:rFonts w:hint="eastAsia" w:ascii="宋体" w:hAnsi="宋体"/>
          <w:szCs w:val="21"/>
        </w:rPr>
        <w:t>1、改造更新设计。</w:t>
      </w:r>
    </w:p>
    <w:p>
      <w:pPr>
        <w:ind w:firstLine="420" w:firstLineChars="200"/>
        <w:rPr>
          <w:rFonts w:ascii="宋体" w:hAnsi="宋体"/>
          <w:szCs w:val="21"/>
        </w:rPr>
      </w:pPr>
      <w:r>
        <w:rPr>
          <w:rFonts w:hint="eastAsia" w:ascii="宋体" w:hAnsi="宋体"/>
          <w:szCs w:val="21"/>
        </w:rPr>
        <w:t>2、深化设计、制作的指导服务。</w:t>
      </w:r>
    </w:p>
    <w:p>
      <w:pPr>
        <w:ind w:firstLine="420" w:firstLineChars="200"/>
        <w:rPr>
          <w:rFonts w:ascii="宋体" w:hAnsi="宋体"/>
          <w:szCs w:val="21"/>
        </w:rPr>
      </w:pPr>
      <w:r>
        <w:rPr>
          <w:rFonts w:hint="eastAsia" w:ascii="宋体" w:hAnsi="宋体"/>
          <w:szCs w:val="21"/>
        </w:rPr>
        <w:t>3、其他合同未明示的相关工作。</w:t>
      </w:r>
    </w:p>
    <w:p>
      <w:pPr>
        <w:ind w:firstLine="422" w:firstLineChars="200"/>
        <w:rPr>
          <w:rFonts w:ascii="宋体" w:hAnsi="宋体"/>
          <w:b/>
          <w:bCs/>
          <w:szCs w:val="21"/>
        </w:rPr>
      </w:pPr>
      <w:r>
        <w:rPr>
          <w:rFonts w:hint="eastAsia" w:ascii="宋体" w:hAnsi="宋体"/>
          <w:b/>
          <w:bCs/>
          <w:szCs w:val="21"/>
        </w:rPr>
        <w:t>第三条  时间要求及阶段成果</w:t>
      </w:r>
    </w:p>
    <w:p>
      <w:pPr>
        <w:ind w:firstLine="420" w:firstLineChars="200"/>
        <w:rPr>
          <w:rFonts w:ascii="宋体" w:hAnsi="宋体"/>
          <w:szCs w:val="21"/>
        </w:rPr>
      </w:pPr>
      <w:r>
        <w:rPr>
          <w:rFonts w:hint="eastAsia" w:ascii="宋体" w:hAnsi="宋体"/>
          <w:szCs w:val="21"/>
        </w:rPr>
        <w:t>1、合同签订天内完成项目实施的准备工作，包括工作计划编制；</w:t>
      </w:r>
    </w:p>
    <w:p>
      <w:pPr>
        <w:ind w:firstLine="420" w:firstLineChars="200"/>
        <w:rPr>
          <w:rFonts w:ascii="宋体" w:hAnsi="宋体"/>
          <w:szCs w:val="21"/>
        </w:rPr>
      </w:pPr>
      <w:r>
        <w:rPr>
          <w:rFonts w:hint="eastAsia" w:ascii="宋体" w:hAnsi="宋体"/>
          <w:szCs w:val="21"/>
        </w:rPr>
        <w:t>2、合同签订天内完成提交设计成果初稿，按甲方意见修改完善；</w:t>
      </w:r>
    </w:p>
    <w:p>
      <w:pPr>
        <w:ind w:firstLine="420" w:firstLineChars="200"/>
      </w:pPr>
      <w:r>
        <w:rPr>
          <w:rFonts w:hint="eastAsia" w:ascii="宋体" w:hAnsi="宋体"/>
          <w:szCs w:val="21"/>
        </w:rPr>
        <w:t>3、合同签订天内完成设计成果评审，按意见完善成果通过验收。</w:t>
      </w:r>
    </w:p>
    <w:p>
      <w:pPr>
        <w:ind w:firstLine="422" w:firstLineChars="200"/>
        <w:rPr>
          <w:rFonts w:ascii="宋体" w:hAnsi="宋体"/>
          <w:b/>
          <w:bCs/>
          <w:szCs w:val="21"/>
        </w:rPr>
      </w:pPr>
      <w:r>
        <w:rPr>
          <w:rFonts w:hint="eastAsia" w:ascii="宋体" w:hAnsi="宋体"/>
          <w:b/>
          <w:bCs/>
          <w:szCs w:val="21"/>
        </w:rPr>
        <w:t>第四条  咨询服务资料归属</w:t>
      </w:r>
    </w:p>
    <w:p>
      <w:pPr>
        <w:ind w:firstLine="420" w:firstLineChars="20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hint="eastAsia" w:ascii="宋体" w:hAnsi="宋体"/>
          <w:szCs w:val="21"/>
        </w:rPr>
        <w:t>乙</w:t>
      </w:r>
      <w:r>
        <w:t>方在提交给</w:t>
      </w:r>
      <w:r>
        <w:rPr>
          <w:rFonts w:hint="eastAsia"/>
        </w:rPr>
        <w:t>甲</w:t>
      </w:r>
      <w:r>
        <w:t>方之前应将上述资料进行整理归类和编制索引</w:t>
      </w:r>
      <w:r>
        <w:rPr>
          <w:rFonts w:hint="eastAsia"/>
        </w:rPr>
        <w:t>。</w:t>
      </w:r>
    </w:p>
    <w:p>
      <w:pPr>
        <w:ind w:firstLine="420" w:firstLineChars="200"/>
      </w:pPr>
      <w:r>
        <w:t>2</w:t>
      </w:r>
      <w:r>
        <w:rPr>
          <w:rFonts w:hint="eastAsia"/>
        </w:rPr>
        <w:t>、</w:t>
      </w:r>
      <w:r>
        <w:rPr>
          <w:rFonts w:hint="eastAsia" w:ascii="宋体" w:hAnsi="宋体"/>
          <w:szCs w:val="21"/>
        </w:rPr>
        <w:t>乙</w:t>
      </w:r>
      <w:r>
        <w:t>方未经</w:t>
      </w:r>
      <w:r>
        <w:rPr>
          <w:rFonts w:hint="eastAsia"/>
        </w:rPr>
        <w:t>甲</w:t>
      </w:r>
      <w:r>
        <w:t>方的书面同意，不得将上述资料用于与本咨询服务项目之外的任何项目</w:t>
      </w:r>
      <w:r>
        <w:rPr>
          <w:rFonts w:hint="eastAsia"/>
        </w:rPr>
        <w:t>。</w:t>
      </w:r>
    </w:p>
    <w:p>
      <w:pPr>
        <w:ind w:firstLine="420" w:firstLineChars="200"/>
      </w:pPr>
      <w:r>
        <w:rPr>
          <w:rFonts w:hint="eastAsia"/>
        </w:rPr>
        <w:t>3、</w:t>
      </w:r>
      <w:r>
        <w:t>合同履行</w:t>
      </w:r>
      <w:r>
        <w:rPr>
          <w:rFonts w:hint="eastAsia"/>
        </w:rPr>
        <w:t>完毕，</w:t>
      </w:r>
      <w:r>
        <w:t>未经</w:t>
      </w:r>
      <w:r>
        <w:rPr>
          <w:rFonts w:hint="eastAsia"/>
        </w:rPr>
        <w:t>甲</w:t>
      </w:r>
      <w:r>
        <w:t>方的书面同意</w:t>
      </w:r>
      <w:r>
        <w:rPr>
          <w:rFonts w:hint="eastAsia"/>
        </w:rPr>
        <w:t>，</w:t>
      </w:r>
      <w:r>
        <w:rPr>
          <w:rFonts w:hint="eastAsia" w:ascii="宋体" w:hAnsi="宋体"/>
          <w:szCs w:val="21"/>
        </w:rPr>
        <w:t>乙</w:t>
      </w:r>
      <w:r>
        <w:t>方</w:t>
      </w:r>
      <w:r>
        <w:rPr>
          <w:rFonts w:hint="eastAsia"/>
        </w:rPr>
        <w:t>不得保存在</w:t>
      </w:r>
      <w:r>
        <w:t>履行合同过程中所获得或接触到的任何</w:t>
      </w:r>
      <w:r>
        <w:rPr>
          <w:rFonts w:hint="eastAsia" w:ascii="宋体" w:hAnsi="宋体"/>
          <w:szCs w:val="21"/>
        </w:rPr>
        <w:t>内部数据资料。</w:t>
      </w:r>
    </w:p>
    <w:p>
      <w:pPr>
        <w:ind w:firstLine="422" w:firstLineChars="200"/>
        <w:rPr>
          <w:rFonts w:ascii="宋体" w:hAnsi="宋体"/>
          <w:b/>
          <w:bCs/>
          <w:szCs w:val="21"/>
        </w:rPr>
      </w:pPr>
      <w:r>
        <w:rPr>
          <w:rFonts w:hint="eastAsia" w:ascii="宋体" w:hAnsi="宋体"/>
          <w:b/>
          <w:bCs/>
          <w:szCs w:val="21"/>
        </w:rPr>
        <w:t>第五条  甲方的义务</w:t>
      </w:r>
    </w:p>
    <w:p>
      <w:pPr>
        <w:ind w:firstLine="420" w:firstLineChars="200"/>
        <w:rPr>
          <w:rFonts w:ascii="宋体" w:hAnsi="宋体"/>
          <w:szCs w:val="21"/>
        </w:rPr>
      </w:pPr>
      <w:r>
        <w:rPr>
          <w:rFonts w:hint="eastAsia" w:ascii="宋体" w:hAnsi="宋体"/>
          <w:szCs w:val="21"/>
        </w:rPr>
        <w:t>1、负责与本咨询服务项目有关的第三方的协调，提供开展咨询服务工作的外部条件。</w:t>
      </w:r>
    </w:p>
    <w:p>
      <w:pPr>
        <w:ind w:firstLine="420" w:firstLineChars="200"/>
        <w:rPr>
          <w:rFonts w:ascii="宋体" w:hAnsi="宋体"/>
          <w:szCs w:val="21"/>
        </w:rPr>
      </w:pPr>
      <w:r>
        <w:rPr>
          <w:rFonts w:hint="eastAsia" w:ascii="宋体" w:hAnsi="宋体"/>
          <w:szCs w:val="21"/>
        </w:rPr>
        <w:t>2、向乙方提供与本项目咨询服务工作有关的资料。</w:t>
      </w:r>
    </w:p>
    <w:p>
      <w:pPr>
        <w:ind w:firstLine="420" w:firstLineChars="200"/>
        <w:rPr>
          <w:rFonts w:ascii="宋体" w:hAnsi="宋体"/>
          <w:szCs w:val="21"/>
        </w:rPr>
      </w:pPr>
      <w:r>
        <w:rPr>
          <w:rFonts w:hint="eastAsia" w:ascii="宋体" w:hAnsi="宋体"/>
          <w:szCs w:val="21"/>
        </w:rPr>
        <w:t>3、负责组织有关专家对项目设计成果进行评审。</w:t>
      </w:r>
    </w:p>
    <w:p>
      <w:pPr>
        <w:ind w:firstLine="422" w:firstLineChars="200"/>
        <w:rPr>
          <w:rFonts w:ascii="宋体" w:hAnsi="宋体"/>
          <w:b/>
          <w:bCs/>
          <w:szCs w:val="21"/>
        </w:rPr>
      </w:pPr>
      <w:r>
        <w:rPr>
          <w:rFonts w:hint="eastAsia" w:ascii="宋体" w:hAnsi="宋体"/>
          <w:b/>
          <w:bCs/>
          <w:szCs w:val="21"/>
        </w:rPr>
        <w:t>第七条乙方的义务</w:t>
      </w:r>
    </w:p>
    <w:p>
      <w:pPr>
        <w:ind w:firstLine="420" w:firstLineChars="200"/>
        <w:rPr>
          <w:rFonts w:ascii="宋体" w:hAnsi="宋体"/>
          <w:szCs w:val="21"/>
        </w:rPr>
      </w:pPr>
      <w:r>
        <w:rPr>
          <w:rFonts w:hint="eastAsia" w:ascii="宋体" w:hAnsi="宋体"/>
          <w:szCs w:val="21"/>
        </w:rPr>
        <w:t>1、应按照招标文件、乙方投标文件要求按期完成本项目设计服务工作。</w:t>
      </w:r>
    </w:p>
    <w:p>
      <w:pPr>
        <w:ind w:firstLine="420" w:firstLineChars="200"/>
        <w:rPr>
          <w:rFonts w:ascii="宋体" w:hAnsi="宋体"/>
          <w:szCs w:val="21"/>
        </w:rPr>
      </w:pPr>
      <w:r>
        <w:rPr>
          <w:rFonts w:hint="eastAsia" w:ascii="宋体" w:hAnsi="宋体"/>
          <w:szCs w:val="21"/>
        </w:rPr>
        <w:t>2、负责组织项目的实施，保证设计进度和设计成果工作质量，并满足验收相关标准。</w:t>
      </w:r>
    </w:p>
    <w:p>
      <w:pPr>
        <w:ind w:firstLine="420" w:firstLineChars="200"/>
        <w:rPr>
          <w:rFonts w:ascii="宋体" w:hAnsi="宋体"/>
          <w:szCs w:val="21"/>
        </w:rPr>
      </w:pPr>
      <w:r>
        <w:rPr>
          <w:rFonts w:hint="eastAsia" w:ascii="宋体" w:hAnsi="宋体"/>
          <w:szCs w:val="21"/>
        </w:rPr>
        <w:t>3、</w:t>
      </w:r>
      <w:r>
        <w:rPr>
          <w:rFonts w:hint="eastAsia" w:ascii="宋体" w:hAnsi="宋体"/>
        </w:rPr>
        <w:t>向甲方提交设计成果等各</w:t>
      </w:r>
      <w:r>
        <w:rPr>
          <w:rFonts w:hint="eastAsia" w:ascii="宋体" w:hAnsi="宋体"/>
          <w:highlight w:val="none"/>
          <w:u w:val="single"/>
        </w:rPr>
        <w:t>3</w:t>
      </w:r>
      <w:r>
        <w:rPr>
          <w:rFonts w:hint="eastAsia" w:ascii="宋体" w:hAnsi="宋体"/>
        </w:rPr>
        <w:t>套，一套电子版文件。</w:t>
      </w:r>
    </w:p>
    <w:p>
      <w:pPr>
        <w:ind w:firstLine="420" w:firstLineChars="200"/>
        <w:rPr>
          <w:rFonts w:ascii="宋体" w:hAnsi="宋体"/>
          <w:szCs w:val="21"/>
        </w:rPr>
      </w:pPr>
      <w:r>
        <w:rPr>
          <w:rFonts w:hint="eastAsia" w:ascii="宋体" w:hAnsi="宋体"/>
          <w:szCs w:val="21"/>
        </w:rPr>
        <w:t>4、在履行合同期间或合同规定期限内，不得泄露与本合同规定业务活动有关的保密资料。</w:t>
      </w:r>
    </w:p>
    <w:p>
      <w:pPr>
        <w:ind w:firstLine="422" w:firstLineChars="200"/>
        <w:rPr>
          <w:rFonts w:ascii="宋体" w:hAnsi="宋体"/>
          <w:b/>
          <w:bCs/>
          <w:szCs w:val="21"/>
        </w:rPr>
      </w:pPr>
      <w:r>
        <w:rPr>
          <w:rFonts w:hint="eastAsia" w:ascii="宋体" w:hAnsi="宋体"/>
          <w:b/>
          <w:bCs/>
          <w:szCs w:val="21"/>
        </w:rPr>
        <w:t>第八条  甲方的权利</w:t>
      </w:r>
    </w:p>
    <w:p>
      <w:pPr>
        <w:ind w:firstLine="420" w:firstLineChars="200"/>
        <w:rPr>
          <w:rFonts w:ascii="宋体" w:hAnsi="宋体"/>
          <w:szCs w:val="21"/>
        </w:rPr>
      </w:pPr>
      <w:r>
        <w:rPr>
          <w:rFonts w:ascii="宋体" w:hAnsi="宋体"/>
          <w:szCs w:val="21"/>
        </w:rPr>
        <w:t>1</w:t>
      </w:r>
      <w:r>
        <w:rPr>
          <w:rFonts w:hint="eastAsia" w:ascii="宋体" w:hAnsi="宋体"/>
          <w:szCs w:val="21"/>
        </w:rPr>
        <w:t>、有权向乙方询问工作进展情况及相关的内容。</w:t>
      </w:r>
    </w:p>
    <w:p>
      <w:pPr>
        <w:ind w:firstLine="420" w:firstLineChars="200"/>
        <w:rPr>
          <w:rFonts w:ascii="宋体" w:hAnsi="宋体"/>
          <w:szCs w:val="21"/>
        </w:rPr>
      </w:pPr>
      <w:r>
        <w:rPr>
          <w:rFonts w:ascii="宋体" w:hAnsi="宋体"/>
          <w:szCs w:val="21"/>
        </w:rPr>
        <w:t>2</w:t>
      </w:r>
      <w:r>
        <w:rPr>
          <w:rFonts w:hint="eastAsia" w:ascii="宋体" w:hAnsi="宋体"/>
          <w:szCs w:val="21"/>
        </w:rPr>
        <w:t>、有权阐述对具体问题的意见和建议。</w:t>
      </w:r>
    </w:p>
    <w:p>
      <w:pPr>
        <w:ind w:firstLine="420" w:firstLineChars="200"/>
        <w:rPr>
          <w:rFonts w:ascii="宋体" w:hAnsi="宋体"/>
          <w:szCs w:val="21"/>
        </w:rPr>
      </w:pPr>
      <w:r>
        <w:rPr>
          <w:rFonts w:ascii="宋体" w:hAnsi="宋体"/>
          <w:szCs w:val="21"/>
        </w:rPr>
        <w:t>3</w:t>
      </w:r>
      <w:r>
        <w:rPr>
          <w:rFonts w:hint="eastAsia" w:ascii="宋体" w:hAnsi="宋体"/>
          <w:szCs w:val="21"/>
        </w:rPr>
        <w:t>、当甲方认定乙方人员不按合同履行其职责，或与第三人串通给甲方造成经济损失的，甲方有权要求更换人员，直至终止合同并要求乙方承担相应的赔偿责任。</w:t>
      </w:r>
    </w:p>
    <w:p>
      <w:pPr>
        <w:ind w:firstLine="422" w:firstLineChars="200"/>
        <w:rPr>
          <w:rFonts w:ascii="宋体" w:hAnsi="宋体"/>
          <w:b/>
          <w:bCs/>
          <w:szCs w:val="21"/>
        </w:rPr>
      </w:pPr>
      <w:r>
        <w:rPr>
          <w:rFonts w:hint="eastAsia" w:ascii="宋体" w:hAnsi="宋体"/>
          <w:b/>
          <w:bCs/>
          <w:szCs w:val="21"/>
        </w:rPr>
        <w:t>第九条  乙方的权利</w:t>
      </w:r>
    </w:p>
    <w:p>
      <w:pPr>
        <w:ind w:firstLine="420" w:firstLineChars="200"/>
        <w:rPr>
          <w:rFonts w:ascii="宋体" w:hAnsi="宋体"/>
          <w:szCs w:val="21"/>
        </w:rPr>
      </w:pPr>
      <w:r>
        <w:rPr>
          <w:rFonts w:ascii="宋体" w:hAnsi="宋体"/>
          <w:szCs w:val="21"/>
        </w:rPr>
        <w:t>1</w:t>
      </w:r>
      <w:r>
        <w:rPr>
          <w:rFonts w:hint="eastAsia" w:ascii="宋体" w:hAnsi="宋体"/>
          <w:szCs w:val="21"/>
        </w:rPr>
        <w:t>、乙方在本项目服务过程中，如甲方提供的资料不明确时可向甲方提出书面报告。</w:t>
      </w:r>
    </w:p>
    <w:p>
      <w:pPr>
        <w:ind w:firstLine="420" w:firstLineChars="200"/>
        <w:rPr>
          <w:rFonts w:ascii="宋体" w:hAnsi="宋体"/>
          <w:szCs w:val="21"/>
        </w:rPr>
      </w:pPr>
      <w:r>
        <w:rPr>
          <w:rFonts w:ascii="宋体" w:hAnsi="宋体"/>
          <w:szCs w:val="21"/>
        </w:rPr>
        <w:t>2</w:t>
      </w:r>
      <w:r>
        <w:rPr>
          <w:rFonts w:hint="eastAsia" w:ascii="宋体" w:hAnsi="宋体"/>
          <w:szCs w:val="21"/>
        </w:rPr>
        <w:t>、乙方在本项目服务过程中，有权对第三方提出与本咨询服务业务有关的问题进行核对或查问。</w:t>
      </w:r>
    </w:p>
    <w:p>
      <w:pPr>
        <w:ind w:firstLine="420" w:firstLineChars="200"/>
        <w:rPr>
          <w:rFonts w:ascii="宋体" w:hAnsi="宋体"/>
          <w:szCs w:val="21"/>
        </w:rPr>
      </w:pPr>
      <w:r>
        <w:rPr>
          <w:rFonts w:ascii="宋体" w:hAnsi="宋体"/>
          <w:szCs w:val="21"/>
        </w:rPr>
        <w:t>3</w:t>
      </w:r>
      <w:r>
        <w:rPr>
          <w:rFonts w:hint="eastAsia" w:ascii="宋体" w:hAnsi="宋体"/>
          <w:szCs w:val="21"/>
        </w:rPr>
        <w:t>、乙方在本项目服务过程中，有到工程现场勘察的权利。</w:t>
      </w:r>
    </w:p>
    <w:p>
      <w:pPr>
        <w:ind w:firstLine="422" w:firstLineChars="200"/>
        <w:rPr>
          <w:rFonts w:ascii="宋体" w:hAnsi="宋体"/>
          <w:b/>
          <w:bCs/>
          <w:szCs w:val="21"/>
        </w:rPr>
      </w:pPr>
      <w:r>
        <w:rPr>
          <w:rFonts w:hint="eastAsia" w:ascii="宋体" w:hAnsi="宋体"/>
          <w:b/>
          <w:bCs/>
          <w:szCs w:val="21"/>
        </w:rPr>
        <w:t>第十条  甲方的责任</w:t>
      </w:r>
    </w:p>
    <w:p>
      <w:pPr>
        <w:ind w:firstLine="420" w:firstLineChars="200"/>
        <w:rPr>
          <w:rFonts w:ascii="宋体" w:hAnsi="宋体"/>
          <w:szCs w:val="21"/>
        </w:rPr>
      </w:pPr>
      <w:r>
        <w:rPr>
          <w:rFonts w:hint="eastAsia" w:ascii="宋体" w:hAnsi="宋体"/>
          <w:szCs w:val="21"/>
        </w:rPr>
        <w:t>1、应当履行本合同约定的义务，如有违反则应当承担违约责任，赔偿给乙方造成的损失。</w:t>
      </w:r>
    </w:p>
    <w:p>
      <w:pPr>
        <w:ind w:firstLine="420" w:firstLineChars="200"/>
        <w:rPr>
          <w:rFonts w:ascii="宋体" w:hAnsi="宋体"/>
          <w:szCs w:val="21"/>
        </w:rPr>
      </w:pPr>
      <w:r>
        <w:rPr>
          <w:rFonts w:hint="eastAsia" w:ascii="宋体" w:hAnsi="宋体"/>
          <w:szCs w:val="21"/>
        </w:rPr>
        <w:t>2、甲方向乙方提出赔偿要求不能成立时，则应补偿由于该赔偿或其他要求所导致乙方的各种费用的支出。</w:t>
      </w:r>
    </w:p>
    <w:p>
      <w:pPr>
        <w:ind w:firstLine="422" w:firstLineChars="200"/>
        <w:rPr>
          <w:rFonts w:ascii="宋体" w:hAnsi="宋体"/>
          <w:b/>
          <w:bCs/>
          <w:szCs w:val="21"/>
        </w:rPr>
      </w:pPr>
      <w:r>
        <w:rPr>
          <w:rFonts w:hint="eastAsia" w:ascii="宋体" w:hAnsi="宋体"/>
          <w:b/>
          <w:bCs/>
          <w:szCs w:val="21"/>
        </w:rPr>
        <w:t>第十一条  乙方的责任</w:t>
      </w:r>
    </w:p>
    <w:p>
      <w:pPr>
        <w:ind w:firstLine="420" w:firstLineChars="200"/>
        <w:rPr>
          <w:rFonts w:ascii="宋体" w:hAnsi="宋体"/>
          <w:szCs w:val="21"/>
        </w:rPr>
      </w:pPr>
      <w:r>
        <w:rPr>
          <w:rFonts w:hint="eastAsia" w:ascii="宋体" w:hAnsi="宋体"/>
          <w:szCs w:val="21"/>
        </w:rPr>
        <w:t>1、乙方的责任期即本合同有效期。如因非乙方的责任造成进度的推迟或延误而超过约定的日期，双方应进一步约定相应延长合同有效期。</w:t>
      </w:r>
    </w:p>
    <w:p>
      <w:pPr>
        <w:ind w:firstLine="420" w:firstLineChars="200"/>
        <w:rPr>
          <w:rFonts w:ascii="宋体" w:hAnsi="宋体"/>
          <w:szCs w:val="21"/>
        </w:rPr>
      </w:pPr>
      <w:r>
        <w:rPr>
          <w:rFonts w:hint="eastAsia" w:ascii="宋体" w:hAnsi="宋体"/>
          <w:szCs w:val="21"/>
        </w:rPr>
        <w:t>2、乙方的责任期内，应当履行本合同中约定的义务，因乙方的单方过失造成的经济损失，应当向甲方进行赔偿。</w:t>
      </w:r>
    </w:p>
    <w:p>
      <w:pPr>
        <w:ind w:firstLine="420" w:firstLineChars="200"/>
        <w:rPr>
          <w:rFonts w:ascii="宋体" w:hAnsi="宋体"/>
          <w:szCs w:val="21"/>
        </w:rPr>
      </w:pPr>
      <w:r>
        <w:rPr>
          <w:rFonts w:hint="eastAsia" w:ascii="宋体" w:hAnsi="宋体"/>
          <w:szCs w:val="21"/>
        </w:rPr>
        <w:t>3、乙方对甲方或第三方所提出的问题不能及时核对或答复，导致合同不能全部或部分履行，乙方应承担责任。</w:t>
      </w:r>
    </w:p>
    <w:p>
      <w:pPr>
        <w:ind w:firstLine="420" w:firstLineChars="200"/>
        <w:rPr>
          <w:rFonts w:ascii="宋体" w:hAnsi="宋体"/>
          <w:szCs w:val="21"/>
        </w:rPr>
      </w:pPr>
      <w:r>
        <w:rPr>
          <w:rFonts w:hint="eastAsia" w:ascii="宋体" w:hAnsi="宋体"/>
          <w:szCs w:val="21"/>
        </w:rPr>
        <w:t>4、乙方向甲方提出赔偿要求不能成立时，则应补偿由于该赔偿或其他要求所导致甲方的各种费用的支出。</w:t>
      </w:r>
    </w:p>
    <w:p>
      <w:pPr>
        <w:ind w:firstLine="422" w:firstLineChars="200"/>
        <w:rPr>
          <w:rFonts w:ascii="宋体" w:hAnsi="宋体"/>
          <w:b/>
          <w:bCs/>
          <w:szCs w:val="21"/>
        </w:rPr>
      </w:pPr>
      <w:r>
        <w:rPr>
          <w:rFonts w:hint="eastAsia" w:ascii="宋体" w:hAnsi="宋体"/>
          <w:b/>
          <w:bCs/>
          <w:szCs w:val="21"/>
        </w:rPr>
        <w:t>第十二条  人员要求</w:t>
      </w:r>
    </w:p>
    <w:p>
      <w:pPr>
        <w:ind w:firstLine="420" w:firstLineChars="200"/>
        <w:rPr>
          <w:rFonts w:ascii="宋体" w:hAnsi="宋体"/>
          <w:szCs w:val="21"/>
        </w:rPr>
      </w:pPr>
      <w:r>
        <w:rPr>
          <w:rFonts w:hint="eastAsia" w:ascii="宋体" w:hAnsi="宋体"/>
          <w:szCs w:val="21"/>
        </w:rPr>
        <w:t>1、参加本项目的人员必须具有国家和有关部门规定的相应资质。</w:t>
      </w:r>
    </w:p>
    <w:p>
      <w:pPr>
        <w:ind w:firstLine="420" w:firstLineChars="200"/>
        <w:rPr>
          <w:rFonts w:ascii="宋体" w:hAnsi="宋体"/>
          <w:szCs w:val="21"/>
        </w:rPr>
      </w:pPr>
      <w:r>
        <w:rPr>
          <w:rFonts w:hint="eastAsia" w:ascii="宋体" w:hAnsi="宋体"/>
          <w:szCs w:val="21"/>
        </w:rPr>
        <w:t>2、参加本项目的人员的配置必须与投标文件中的提交的人员相一致。</w:t>
      </w:r>
    </w:p>
    <w:p>
      <w:pPr>
        <w:ind w:firstLine="420" w:firstLineChars="200"/>
        <w:rPr>
          <w:rFonts w:ascii="宋体" w:hAnsi="宋体"/>
          <w:szCs w:val="21"/>
        </w:rPr>
      </w:pPr>
      <w:r>
        <w:rPr>
          <w:rFonts w:hint="eastAsia" w:ascii="宋体" w:hAnsi="宋体"/>
          <w:szCs w:val="21"/>
        </w:rPr>
        <w:t>3、必须以直属人员参与本项目服务，不得使用挂靠队伍。</w:t>
      </w:r>
    </w:p>
    <w:p>
      <w:pPr>
        <w:ind w:firstLine="422" w:firstLineChars="200"/>
        <w:rPr>
          <w:rFonts w:ascii="宋体" w:hAnsi="宋体"/>
          <w:b/>
          <w:bCs/>
          <w:szCs w:val="21"/>
        </w:rPr>
      </w:pPr>
      <w:r>
        <w:rPr>
          <w:rFonts w:hint="eastAsia" w:ascii="宋体" w:hAnsi="宋体"/>
          <w:b/>
          <w:bCs/>
          <w:szCs w:val="21"/>
        </w:rPr>
        <w:t>第十三条  乙方服务工具要求</w:t>
      </w:r>
    </w:p>
    <w:p>
      <w:pPr>
        <w:ind w:firstLine="420" w:firstLineChars="200"/>
        <w:rPr>
          <w:rFonts w:ascii="宋体" w:hAnsi="宋体"/>
          <w:szCs w:val="21"/>
        </w:rPr>
      </w:pPr>
      <w:r>
        <w:rPr>
          <w:rFonts w:hint="eastAsia" w:ascii="宋体" w:hAnsi="宋体"/>
          <w:szCs w:val="21"/>
        </w:rPr>
        <w:t>1、乙方应配备中标项目所需的足够数量的仪器、计算机以及工具等设备。</w:t>
      </w:r>
      <w:r>
        <w:rPr>
          <w:rFonts w:hint="eastAsia" w:ascii="宋体" w:hAnsi="宋体"/>
          <w:szCs w:val="21"/>
          <w:lang w:val="en-US" w:eastAsia="zh-CN"/>
        </w:rPr>
        <w:t>甲方</w:t>
      </w:r>
      <w:r>
        <w:rPr>
          <w:rFonts w:hint="eastAsia" w:ascii="宋体" w:hAnsi="宋体"/>
          <w:szCs w:val="21"/>
        </w:rPr>
        <w:t>不需向乙方提供工具设备。</w:t>
      </w:r>
    </w:p>
    <w:p>
      <w:pPr>
        <w:ind w:firstLine="420" w:firstLineChars="200"/>
        <w:rPr>
          <w:rFonts w:ascii="宋体" w:hAnsi="宋体"/>
          <w:szCs w:val="21"/>
        </w:rPr>
      </w:pPr>
      <w:r>
        <w:rPr>
          <w:rFonts w:hint="eastAsia" w:ascii="宋体" w:hAnsi="宋体"/>
          <w:szCs w:val="21"/>
        </w:rPr>
        <w:t>2、乙方在提供服务过程中应自备车辆。</w:t>
      </w:r>
    </w:p>
    <w:p>
      <w:pPr>
        <w:ind w:firstLine="422" w:firstLineChars="200"/>
        <w:rPr>
          <w:rFonts w:ascii="宋体" w:hAnsi="宋体"/>
          <w:b/>
          <w:bCs/>
          <w:szCs w:val="21"/>
        </w:rPr>
      </w:pPr>
      <w:r>
        <w:rPr>
          <w:rFonts w:hint="eastAsia" w:ascii="宋体" w:hAnsi="宋体"/>
          <w:b/>
          <w:bCs/>
          <w:szCs w:val="21"/>
        </w:rPr>
        <w:t>第十四条  保密要求</w:t>
      </w:r>
    </w:p>
    <w:p>
      <w:pPr>
        <w:ind w:firstLine="420" w:firstLineChars="200"/>
        <w:rPr>
          <w:rFonts w:ascii="宋体" w:hAnsi="宋体"/>
          <w:szCs w:val="21"/>
        </w:rPr>
      </w:pPr>
      <w:r>
        <w:rPr>
          <w:rFonts w:hint="eastAsia" w:ascii="宋体" w:hAnsi="宋体"/>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ind w:firstLine="420" w:firstLineChars="200"/>
        <w:rPr>
          <w:rFonts w:ascii="宋体" w:hAnsi="宋体"/>
          <w:szCs w:val="21"/>
        </w:rPr>
      </w:pPr>
      <w:r>
        <w:rPr>
          <w:rFonts w:hint="eastAsia" w:ascii="宋体" w:hAnsi="宋体"/>
          <w:szCs w:val="21"/>
        </w:rPr>
        <w:t>2、</w:t>
      </w:r>
      <w:r>
        <w:rPr>
          <w:rFonts w:ascii="宋体" w:hAnsi="宋体"/>
          <w:szCs w:val="21"/>
        </w:rPr>
        <w:t>乙方在履行合同过程中所获得或接触到的任何</w:t>
      </w:r>
      <w:r>
        <w:rPr>
          <w:rFonts w:hint="eastAsia" w:ascii="宋体" w:hAnsi="宋体"/>
          <w:szCs w:val="21"/>
        </w:rPr>
        <w:t>内部数据资料，未经甲方同意，不得向第三方透露。</w:t>
      </w:r>
    </w:p>
    <w:p>
      <w:pPr>
        <w:ind w:firstLine="420" w:firstLineChars="200"/>
        <w:rPr>
          <w:rFonts w:ascii="宋体" w:hAnsi="宋体"/>
          <w:szCs w:val="21"/>
        </w:rPr>
      </w:pPr>
      <w:r>
        <w:rPr>
          <w:rFonts w:hint="eastAsia" w:ascii="宋体" w:hAnsi="宋体"/>
          <w:szCs w:val="21"/>
        </w:rPr>
        <w:t>3、</w:t>
      </w:r>
      <w:r>
        <w:rPr>
          <w:rFonts w:ascii="宋体" w:hAnsi="宋体"/>
          <w:szCs w:val="21"/>
        </w:rPr>
        <w:t>乙方</w:t>
      </w:r>
      <w:r>
        <w:rPr>
          <w:rFonts w:hint="eastAsia" w:ascii="宋体" w:hAnsi="宋体"/>
          <w:szCs w:val="21"/>
        </w:rPr>
        <w:t>实施项目的一切程序都应符合国家安全、保密的有关规定和标准。</w:t>
      </w:r>
    </w:p>
    <w:p>
      <w:pPr>
        <w:ind w:firstLine="420" w:firstLineChars="200"/>
        <w:rPr>
          <w:rFonts w:ascii="宋体" w:hAnsi="宋体"/>
          <w:szCs w:val="21"/>
        </w:rPr>
      </w:pPr>
      <w:r>
        <w:rPr>
          <w:rFonts w:hint="eastAsia" w:ascii="宋体" w:hAnsi="宋体"/>
          <w:szCs w:val="21"/>
        </w:rPr>
        <w:t>4、</w:t>
      </w:r>
      <w:r>
        <w:rPr>
          <w:rFonts w:ascii="宋体" w:hAnsi="宋体"/>
          <w:szCs w:val="21"/>
        </w:rPr>
        <w:t>乙方</w:t>
      </w:r>
      <w:r>
        <w:rPr>
          <w:rFonts w:hint="eastAsia" w:ascii="宋体" w:hAnsi="宋体"/>
          <w:szCs w:val="21"/>
        </w:rPr>
        <w:t>参加项目的有关人员均需同甲方签订保密协议。</w:t>
      </w:r>
    </w:p>
    <w:p>
      <w:pPr>
        <w:ind w:firstLine="422" w:firstLineChars="200"/>
        <w:rPr>
          <w:rFonts w:ascii="宋体" w:hAnsi="宋体"/>
          <w:b/>
          <w:bCs/>
          <w:szCs w:val="21"/>
        </w:rPr>
      </w:pPr>
      <w:r>
        <w:rPr>
          <w:rFonts w:hint="eastAsia" w:ascii="宋体" w:hAnsi="宋体"/>
          <w:b/>
          <w:bCs/>
          <w:szCs w:val="21"/>
        </w:rPr>
        <w:t>第十五条  验收</w:t>
      </w:r>
    </w:p>
    <w:p>
      <w:pPr>
        <w:ind w:firstLine="420" w:firstLineChars="200"/>
        <w:rPr>
          <w:rFonts w:ascii="宋体" w:hAnsi="宋体"/>
          <w:szCs w:val="21"/>
        </w:rPr>
      </w:pPr>
      <w:r>
        <w:rPr>
          <w:rFonts w:hint="eastAsia" w:ascii="宋体" w:hAnsi="宋体"/>
          <w:szCs w:val="21"/>
        </w:rPr>
        <w:t>1、设计成果须通过专家评审。</w:t>
      </w:r>
    </w:p>
    <w:p>
      <w:pPr>
        <w:ind w:firstLine="420" w:firstLineChars="200"/>
        <w:rPr>
          <w:rFonts w:ascii="宋体" w:hAnsi="宋体"/>
          <w:szCs w:val="21"/>
        </w:rPr>
      </w:pPr>
      <w:r>
        <w:rPr>
          <w:rFonts w:hint="eastAsia" w:ascii="宋体" w:hAnsi="宋体"/>
          <w:szCs w:val="21"/>
        </w:rPr>
        <w:t>2、其余文件和工作由</w:t>
      </w:r>
      <w:r>
        <w:rPr>
          <w:rFonts w:hint="eastAsia" w:ascii="宋体" w:hAnsi="宋体"/>
          <w:szCs w:val="21"/>
          <w:lang w:val="en-US" w:eastAsia="zh-CN"/>
        </w:rPr>
        <w:t>甲方</w:t>
      </w:r>
      <w:r>
        <w:rPr>
          <w:rFonts w:hint="eastAsia" w:ascii="宋体" w:hAnsi="宋体"/>
          <w:szCs w:val="21"/>
        </w:rPr>
        <w:t>组织有关技术人员根据国家和行业有关规范、规程、标准和用户需求直接验收。</w:t>
      </w:r>
    </w:p>
    <w:p>
      <w:pPr>
        <w:ind w:firstLine="420" w:firstLineChars="200"/>
        <w:rPr>
          <w:rFonts w:ascii="宋体" w:hAnsi="宋体"/>
          <w:szCs w:val="21"/>
        </w:rPr>
      </w:pPr>
      <w:r>
        <w:rPr>
          <w:rFonts w:hint="eastAsia" w:ascii="宋体" w:hAnsi="宋体"/>
          <w:szCs w:val="21"/>
        </w:rPr>
        <w:t>3、验收依据为招标文件、乙方投标文件，国家和行业有关规范、规程和标准。</w:t>
      </w:r>
    </w:p>
    <w:p>
      <w:pPr>
        <w:ind w:firstLine="422" w:firstLineChars="200"/>
        <w:rPr>
          <w:rFonts w:ascii="宋体" w:hAnsi="宋体"/>
          <w:b/>
          <w:bCs/>
          <w:szCs w:val="21"/>
        </w:rPr>
      </w:pPr>
      <w:r>
        <w:rPr>
          <w:rFonts w:hint="eastAsia" w:ascii="宋体" w:hAnsi="宋体"/>
          <w:b/>
          <w:bCs/>
          <w:szCs w:val="21"/>
        </w:rPr>
        <w:t>第十六条  付款方式</w:t>
      </w:r>
    </w:p>
    <w:p>
      <w:pPr>
        <w:numPr>
          <w:ilvl w:val="-1"/>
          <w:numId w:val="0"/>
        </w:numPr>
        <w:adjustRightInd/>
        <w:snapToGrid/>
        <w:spacing w:line="240" w:lineRule="auto"/>
        <w:ind w:left="0" w:firstLine="420" w:firstLineChars="200"/>
        <w:rPr>
          <w:rFonts w:hint="eastAsia" w:ascii="宋体" w:hAnsi="宋体" w:eastAsiaTheme="minorEastAsia" w:cstheme="minorBidi"/>
          <w:sz w:val="21"/>
          <w:szCs w:val="21"/>
        </w:rPr>
      </w:pPr>
      <w:r>
        <w:rPr>
          <w:rFonts w:hint="eastAsia" w:ascii="宋体" w:hAnsi="宋体"/>
          <w:szCs w:val="21"/>
          <w:lang w:val="en-US" w:eastAsia="zh-CN"/>
        </w:rPr>
        <w:t>1、</w:t>
      </w:r>
      <w:r>
        <w:rPr>
          <w:rFonts w:hint="eastAsia" w:ascii="宋体" w:hAnsi="宋体" w:eastAsiaTheme="minorEastAsia" w:cstheme="minorBidi"/>
          <w:sz w:val="21"/>
          <w:szCs w:val="21"/>
        </w:rPr>
        <w:t>合同签订后、</w:t>
      </w:r>
      <w:r>
        <w:rPr>
          <w:rFonts w:hint="eastAsia" w:ascii="宋体" w:hAnsi="宋体" w:eastAsiaTheme="minorEastAsia" w:cstheme="minorBidi"/>
          <w:sz w:val="21"/>
          <w:szCs w:val="21"/>
          <w:lang w:val="en-US" w:eastAsia="zh-CN"/>
        </w:rPr>
        <w:t>乙方</w:t>
      </w:r>
      <w:r>
        <w:rPr>
          <w:rFonts w:hint="eastAsia" w:ascii="宋体" w:hAnsi="宋体" w:eastAsiaTheme="minorEastAsia" w:cstheme="minorBidi"/>
          <w:sz w:val="21"/>
          <w:szCs w:val="21"/>
        </w:rPr>
        <w:t>提供发票后30日内，</w:t>
      </w:r>
      <w:r>
        <w:rPr>
          <w:rFonts w:hint="eastAsia" w:ascii="宋体" w:hAnsi="宋体" w:eastAsiaTheme="minorEastAsia" w:cstheme="minorBidi"/>
          <w:sz w:val="21"/>
          <w:szCs w:val="21"/>
          <w:lang w:val="en-US" w:eastAsia="zh-CN"/>
        </w:rPr>
        <w:t>甲方申请</w:t>
      </w:r>
      <w:r>
        <w:rPr>
          <w:rFonts w:hint="eastAsia" w:ascii="宋体" w:hAnsi="宋体" w:eastAsiaTheme="minorEastAsia" w:cstheme="minorBidi"/>
          <w:sz w:val="21"/>
          <w:szCs w:val="21"/>
        </w:rPr>
        <w:t>支付</w:t>
      </w:r>
      <w:r>
        <w:rPr>
          <w:rFonts w:hint="eastAsia" w:ascii="宋体" w:hAnsi="宋体" w:eastAsiaTheme="minorEastAsia" w:cstheme="minorBidi"/>
          <w:sz w:val="21"/>
          <w:szCs w:val="21"/>
          <w:lang w:val="en-US" w:eastAsia="zh-CN"/>
        </w:rPr>
        <w:t>乙方</w:t>
      </w:r>
      <w:r>
        <w:rPr>
          <w:rFonts w:hint="eastAsia" w:ascii="宋体" w:hAnsi="宋体" w:eastAsiaTheme="minorEastAsia" w:cstheme="minorBidi"/>
          <w:sz w:val="21"/>
          <w:szCs w:val="21"/>
        </w:rPr>
        <w:t>合同金额的50%作为首付款。</w:t>
      </w:r>
    </w:p>
    <w:p>
      <w:pPr>
        <w:numPr>
          <w:ilvl w:val="0"/>
          <w:numId w:val="0"/>
        </w:numPr>
        <w:ind w:firstLine="420" w:firstLineChars="200"/>
        <w:rPr>
          <w:rFonts w:ascii="宋体" w:hAnsi="宋体"/>
          <w:szCs w:val="21"/>
        </w:rPr>
      </w:pPr>
      <w:r>
        <w:rPr>
          <w:rFonts w:hint="eastAsia" w:ascii="宋体" w:hAnsi="宋体" w:eastAsiaTheme="minorEastAsia" w:cstheme="minorBidi"/>
          <w:sz w:val="21"/>
          <w:szCs w:val="21"/>
          <w:lang w:val="en-US" w:eastAsia="zh-CN"/>
        </w:rPr>
        <w:t>2、乙方</w:t>
      </w:r>
      <w:r>
        <w:rPr>
          <w:rFonts w:hint="eastAsia" w:ascii="宋体" w:hAnsi="宋体" w:eastAsiaTheme="minorEastAsia" w:cstheme="minorBidi"/>
          <w:sz w:val="21"/>
          <w:szCs w:val="21"/>
        </w:rPr>
        <w:t>设计完毕，通过</w:t>
      </w:r>
      <w:r>
        <w:rPr>
          <w:rFonts w:hint="eastAsia" w:ascii="宋体" w:hAnsi="宋体" w:eastAsiaTheme="minorEastAsia" w:cstheme="minorBidi"/>
          <w:sz w:val="21"/>
          <w:szCs w:val="21"/>
          <w:lang w:val="en-US" w:eastAsia="zh-CN"/>
        </w:rPr>
        <w:t>甲方</w:t>
      </w:r>
      <w:r>
        <w:rPr>
          <w:rFonts w:hint="eastAsia" w:ascii="宋体" w:hAnsi="宋体" w:eastAsiaTheme="minorEastAsia" w:cstheme="minorBidi"/>
          <w:sz w:val="21"/>
          <w:szCs w:val="21"/>
        </w:rPr>
        <w:t>组织的相关评审验收合格、</w:t>
      </w:r>
      <w:r>
        <w:rPr>
          <w:rFonts w:hint="eastAsia" w:ascii="宋体" w:hAnsi="宋体" w:eastAsiaTheme="minorEastAsia" w:cstheme="minorBidi"/>
          <w:sz w:val="21"/>
          <w:szCs w:val="21"/>
          <w:lang w:val="en-US" w:eastAsia="zh-CN"/>
        </w:rPr>
        <w:t>乙方</w:t>
      </w:r>
      <w:r>
        <w:rPr>
          <w:rFonts w:hint="eastAsia" w:ascii="宋体" w:hAnsi="宋体" w:eastAsiaTheme="minorEastAsia" w:cstheme="minorBidi"/>
          <w:sz w:val="21"/>
          <w:szCs w:val="21"/>
        </w:rPr>
        <w:t>提供发票后30日内，</w:t>
      </w:r>
      <w:r>
        <w:rPr>
          <w:rFonts w:hint="eastAsia" w:ascii="宋体" w:hAnsi="宋体" w:eastAsiaTheme="minorEastAsia" w:cstheme="minorBidi"/>
          <w:sz w:val="21"/>
          <w:szCs w:val="21"/>
          <w:lang w:val="en-US" w:eastAsia="zh-CN"/>
        </w:rPr>
        <w:t>甲方申请</w:t>
      </w:r>
      <w:r>
        <w:rPr>
          <w:rFonts w:hint="eastAsia" w:ascii="宋体" w:hAnsi="宋体" w:eastAsiaTheme="minorEastAsia" w:cstheme="minorBidi"/>
          <w:sz w:val="21"/>
          <w:szCs w:val="21"/>
        </w:rPr>
        <w:t>支付50%的合同款。</w:t>
      </w:r>
    </w:p>
    <w:p>
      <w:pPr>
        <w:ind w:firstLine="422" w:firstLineChars="200"/>
        <w:rPr>
          <w:rFonts w:ascii="宋体" w:hAnsi="宋体"/>
          <w:b/>
          <w:bCs/>
          <w:szCs w:val="21"/>
        </w:rPr>
      </w:pPr>
      <w:r>
        <w:rPr>
          <w:rFonts w:hint="eastAsia" w:ascii="宋体" w:hAnsi="宋体"/>
          <w:b/>
          <w:bCs/>
          <w:szCs w:val="21"/>
        </w:rPr>
        <w:t>第十七条  争议解决办法</w:t>
      </w:r>
    </w:p>
    <w:p>
      <w:pPr>
        <w:ind w:firstLine="420" w:firstLineChars="200"/>
        <w:rPr>
          <w:rFonts w:hint="default" w:ascii="宋体" w:hAnsi="宋体" w:eastAsiaTheme="minorEastAsia"/>
          <w:szCs w:val="21"/>
          <w:lang w:val="en-US" w:eastAsia="zh-CN"/>
        </w:rPr>
      </w:pPr>
      <w:r>
        <w:rPr>
          <w:rFonts w:hint="eastAsia" w:ascii="宋体" w:hAnsi="宋体"/>
          <w:szCs w:val="21"/>
        </w:rPr>
        <w:t>执行本合同发生的争议，由甲乙双方协商解决。</w:t>
      </w:r>
      <w:r>
        <w:rPr>
          <w:rFonts w:hint="eastAsia" w:ascii="宋体" w:hAnsi="宋体"/>
          <w:szCs w:val="21"/>
          <w:lang w:val="en-US" w:eastAsia="zh-CN"/>
        </w:rPr>
        <w:t>协商不成的，甲乙双方同意由甲方所在地人民法院诉讼管辖。</w:t>
      </w:r>
    </w:p>
    <w:p>
      <w:pPr>
        <w:ind w:firstLine="422" w:firstLineChars="200"/>
        <w:rPr>
          <w:rFonts w:ascii="宋体" w:hAnsi="宋体"/>
          <w:b/>
          <w:bCs/>
          <w:szCs w:val="21"/>
        </w:rPr>
      </w:pPr>
      <w:r>
        <w:rPr>
          <w:rFonts w:hint="eastAsia" w:ascii="宋体" w:hAnsi="宋体"/>
          <w:b/>
          <w:bCs/>
          <w:szCs w:val="21"/>
        </w:rPr>
        <w:t>第十八条  风险责任</w:t>
      </w:r>
    </w:p>
    <w:p>
      <w:pPr>
        <w:ind w:firstLine="420" w:firstLineChars="200"/>
        <w:rPr>
          <w:rFonts w:ascii="宋体" w:hAnsi="宋体"/>
          <w:szCs w:val="21"/>
        </w:rPr>
      </w:pPr>
      <w:r>
        <w:rPr>
          <w:rFonts w:hint="eastAsia" w:ascii="宋体" w:hAnsi="宋体"/>
          <w:szCs w:val="21"/>
        </w:rPr>
        <w:t>１、乙方应完全地按照招标文件的要求和乙方投标文件的承诺完成本项目，出于自身财务、技术、人力等原因导致项目失败的，应承担全部责任。</w:t>
      </w:r>
    </w:p>
    <w:p>
      <w:pPr>
        <w:ind w:firstLine="420" w:firstLineChars="200"/>
        <w:rPr>
          <w:rFonts w:ascii="宋体" w:hAnsi="宋体"/>
          <w:szCs w:val="21"/>
        </w:rPr>
      </w:pPr>
      <w:r>
        <w:rPr>
          <w:rFonts w:hint="eastAsia" w:ascii="宋体" w:hAnsi="宋体"/>
          <w:szCs w:val="21"/>
        </w:rPr>
        <w:t>2、乙方在履约过程中应对自身的安全生产负责，若由乙方原因发生的各种事故甲方不承担任何责任。</w:t>
      </w:r>
    </w:p>
    <w:p>
      <w:pPr>
        <w:ind w:firstLine="422" w:firstLineChars="200"/>
        <w:rPr>
          <w:rFonts w:ascii="宋体" w:hAnsi="宋体"/>
          <w:b/>
          <w:bCs/>
          <w:szCs w:val="21"/>
        </w:rPr>
      </w:pPr>
      <w:r>
        <w:rPr>
          <w:rFonts w:hint="eastAsia" w:ascii="宋体" w:hAnsi="宋体"/>
          <w:b/>
          <w:bCs/>
          <w:szCs w:val="21"/>
        </w:rPr>
        <w:t>第十九条  违约责任</w:t>
      </w:r>
    </w:p>
    <w:p>
      <w:pPr>
        <w:pStyle w:val="9"/>
        <w:spacing w:line="240" w:lineRule="auto"/>
        <w:ind w:firstLine="400"/>
        <w:rPr>
          <w:rFonts w:ascii="宋体" w:hAnsi="宋体"/>
          <w:szCs w:val="21"/>
        </w:rPr>
      </w:pPr>
      <w:r>
        <w:rPr>
          <w:rFonts w:hint="eastAsia" w:ascii="宋体" w:hAnsi="宋体"/>
          <w:szCs w:val="21"/>
        </w:rPr>
        <w:t>１、因乙方原因，未能按规定时间完成有关工作的，每延误一天，甲方可在支付合同余款中扣除合同价款千分之一。</w:t>
      </w:r>
    </w:p>
    <w:p>
      <w:pPr>
        <w:ind w:firstLine="420" w:firstLineChars="200"/>
        <w:rPr>
          <w:rFonts w:ascii="宋体" w:hAnsi="宋体"/>
          <w:szCs w:val="21"/>
        </w:rPr>
      </w:pPr>
      <w:r>
        <w:rPr>
          <w:rFonts w:hint="eastAsia" w:ascii="宋体" w:hAnsi="宋体"/>
          <w:szCs w:val="21"/>
        </w:rPr>
        <w:t>2、由于乙方原因造成设计成果质量低劣，不能满足招标文件及甲方要求时，应继续完善试验工作，其费用由乙方承担。</w:t>
      </w:r>
    </w:p>
    <w:p>
      <w:pPr>
        <w:ind w:firstLine="420" w:firstLineChars="200"/>
        <w:rPr>
          <w:rFonts w:ascii="宋体" w:hAnsi="宋体"/>
          <w:szCs w:val="21"/>
        </w:rPr>
      </w:pPr>
      <w:r>
        <w:rPr>
          <w:rFonts w:hint="eastAsia" w:ascii="宋体" w:hAnsi="宋体"/>
          <w:szCs w:val="21"/>
        </w:rPr>
        <w:t>3、如乙方提供的设计成果不符合质量要求，必须在甲方提出要求后7天内无条件修改，其费用由乙方承担。</w:t>
      </w:r>
    </w:p>
    <w:p>
      <w:pPr>
        <w:ind w:firstLine="420" w:firstLineChars="200"/>
        <w:rPr>
          <w:rFonts w:ascii="宋体" w:hAnsi="宋体"/>
          <w:szCs w:val="21"/>
        </w:rPr>
      </w:pPr>
      <w:r>
        <w:rPr>
          <w:rFonts w:hint="eastAsia" w:ascii="宋体" w:hAnsi="宋体"/>
          <w:szCs w:val="21"/>
        </w:rPr>
        <w:t>4、若甲方发现乙方派出的工作人员不符合合同要求，乙方应在3天之内按要求派出人员，否则甲方有权终止合同，并保留追究乙方责任及要求赔偿损失的权利。</w:t>
      </w:r>
    </w:p>
    <w:p>
      <w:pPr>
        <w:ind w:firstLine="422" w:firstLineChars="200"/>
        <w:rPr>
          <w:rFonts w:ascii="宋体" w:hAnsi="宋体"/>
          <w:b/>
          <w:bCs/>
          <w:szCs w:val="21"/>
        </w:rPr>
      </w:pPr>
      <w:r>
        <w:rPr>
          <w:rFonts w:hint="eastAsia" w:ascii="宋体" w:hAnsi="宋体"/>
          <w:b/>
          <w:bCs/>
          <w:szCs w:val="21"/>
        </w:rPr>
        <w:t>第二十条  其他</w:t>
      </w:r>
    </w:p>
    <w:p>
      <w:pPr>
        <w:ind w:firstLine="420" w:firstLineChars="200"/>
        <w:rPr>
          <w:rFonts w:ascii="宋体" w:hAnsi="宋体"/>
          <w:szCs w:val="21"/>
        </w:rPr>
      </w:pPr>
      <w:r>
        <w:rPr>
          <w:rFonts w:hint="eastAsia" w:ascii="宋体" w:hAnsi="宋体"/>
          <w:szCs w:val="21"/>
        </w:rPr>
        <w:t>1、本合同与招标文件、乙方投标文件如有抵触之处，以本合同条款为准。</w:t>
      </w:r>
    </w:p>
    <w:p>
      <w:pPr>
        <w:ind w:firstLine="420" w:firstLineChars="200"/>
        <w:rPr>
          <w:rFonts w:ascii="宋体" w:hAnsi="宋体"/>
          <w:szCs w:val="21"/>
        </w:rPr>
      </w:pPr>
      <w:r>
        <w:rPr>
          <w:rFonts w:hint="eastAsia" w:ascii="宋体" w:hAnsi="宋体"/>
          <w:szCs w:val="21"/>
        </w:rPr>
        <w:t>2、下列文件均为本合同的组成部分：</w:t>
      </w:r>
    </w:p>
    <w:p>
      <w:pPr>
        <w:ind w:firstLine="420" w:firstLineChars="200"/>
        <w:rPr>
          <w:rFonts w:ascii="宋体" w:hAnsi="宋体"/>
          <w:szCs w:val="21"/>
        </w:rPr>
      </w:pPr>
      <w:r>
        <w:rPr>
          <w:rFonts w:hint="eastAsia" w:ascii="宋体" w:hAnsi="宋体"/>
          <w:szCs w:val="21"/>
        </w:rPr>
        <w:t>（1）招标文件、答疑及补充通知；</w:t>
      </w:r>
    </w:p>
    <w:p>
      <w:pPr>
        <w:ind w:firstLine="420" w:firstLineChars="200"/>
        <w:rPr>
          <w:rFonts w:ascii="宋体" w:hAnsi="宋体"/>
          <w:szCs w:val="21"/>
        </w:rPr>
      </w:pPr>
      <w:r>
        <w:rPr>
          <w:rFonts w:hint="eastAsia" w:ascii="宋体" w:hAnsi="宋体"/>
          <w:szCs w:val="21"/>
        </w:rPr>
        <w:t>（2）投标文件；</w:t>
      </w:r>
    </w:p>
    <w:p>
      <w:pPr>
        <w:ind w:firstLine="420" w:firstLineChars="200"/>
        <w:rPr>
          <w:rFonts w:ascii="宋体" w:hAnsi="宋体"/>
          <w:szCs w:val="21"/>
        </w:rPr>
      </w:pPr>
      <w:r>
        <w:rPr>
          <w:rFonts w:hint="eastAsia" w:ascii="宋体" w:hAnsi="宋体"/>
          <w:szCs w:val="21"/>
        </w:rPr>
        <w:t>（3）本合同执行中共同签署的补充与修正文件。</w:t>
      </w:r>
    </w:p>
    <w:p>
      <w:pPr>
        <w:ind w:firstLine="420" w:firstLineChars="200"/>
        <w:rPr>
          <w:rFonts w:ascii="宋体" w:hAnsi="宋体"/>
          <w:szCs w:val="21"/>
        </w:rPr>
      </w:pPr>
      <w:r>
        <w:rPr>
          <w:rFonts w:hint="eastAsia" w:ascii="宋体" w:hAnsi="宋体"/>
          <w:szCs w:val="21"/>
        </w:rPr>
        <w:t>本合同一式份，甲、乙方双方各执份，具有同等法律效力。本合同自双方法人代表签字（盖章）认可之日起生效。</w:t>
      </w:r>
    </w:p>
    <w:p>
      <w:pPr>
        <w:ind w:firstLine="420" w:firstLineChars="200"/>
        <w:rPr>
          <w:rFonts w:ascii="宋体" w:hAnsi="宋体"/>
          <w:szCs w:val="21"/>
        </w:rPr>
      </w:pPr>
      <w:r>
        <w:rPr>
          <w:rFonts w:hint="eastAsia" w:ascii="宋体" w:hAnsi="宋体"/>
          <w:szCs w:val="21"/>
        </w:rPr>
        <w:t>本合同未尽事宜，双方友好协商，达成解决方案，经双方签字后，可作为本合同的有效附件。</w:t>
      </w:r>
    </w:p>
    <w:p>
      <w:pPr>
        <w:rPr>
          <w:rFonts w:ascii="宋体" w:hAnsi="宋体"/>
          <w:szCs w:val="21"/>
        </w:rPr>
      </w:pPr>
    </w:p>
    <w:p>
      <w:pPr>
        <w:adjustRightInd w:val="0"/>
        <w:snapToGrid w:val="0"/>
        <w:rPr>
          <w:rFonts w:ascii="宋体" w:hAnsi="宋体"/>
          <w:szCs w:val="21"/>
        </w:rPr>
      </w:pPr>
      <w:r>
        <w:rPr>
          <w:rFonts w:hint="eastAsia" w:ascii="宋体" w:hAnsi="宋体"/>
          <w:szCs w:val="21"/>
        </w:rPr>
        <w:t>甲方：    乙方：</w:t>
      </w:r>
    </w:p>
    <w:p>
      <w:pPr>
        <w:adjustRightInd w:val="0"/>
        <w:snapToGrid w:val="0"/>
        <w:rPr>
          <w:rFonts w:ascii="宋体" w:hAnsi="宋体"/>
          <w:szCs w:val="21"/>
        </w:rPr>
      </w:pPr>
      <w:r>
        <w:rPr>
          <w:rFonts w:hint="eastAsia" w:ascii="宋体" w:hAnsi="宋体"/>
          <w:szCs w:val="21"/>
        </w:rPr>
        <w:t>（签章）                      （签章）</w:t>
      </w:r>
    </w:p>
    <w:p>
      <w:pPr>
        <w:adjustRightInd w:val="0"/>
        <w:snapToGrid w:val="0"/>
        <w:rPr>
          <w:rFonts w:ascii="宋体" w:hAnsi="宋体"/>
          <w:szCs w:val="21"/>
        </w:rPr>
      </w:pPr>
      <w:r>
        <w:rPr>
          <w:rFonts w:hint="eastAsia" w:ascii="宋体" w:hAnsi="宋体"/>
          <w:szCs w:val="21"/>
        </w:rPr>
        <w:t>地址：                        地址：</w:t>
      </w:r>
    </w:p>
    <w:p>
      <w:pPr>
        <w:adjustRightInd w:val="0"/>
        <w:snapToGrid w:val="0"/>
        <w:rPr>
          <w:rFonts w:ascii="宋体" w:hAnsi="宋体"/>
          <w:szCs w:val="21"/>
        </w:rPr>
      </w:pPr>
      <w:r>
        <w:rPr>
          <w:rFonts w:hint="eastAsia" w:ascii="宋体" w:hAnsi="宋体"/>
          <w:szCs w:val="21"/>
        </w:rPr>
        <w:t>法定代表人：（签章）           法定代表人：（签章）</w:t>
      </w:r>
    </w:p>
    <w:p>
      <w:pPr>
        <w:adjustRightInd w:val="0"/>
        <w:snapToGrid w:val="0"/>
        <w:rPr>
          <w:rFonts w:ascii="宋体" w:hAnsi="宋体"/>
          <w:szCs w:val="21"/>
        </w:rPr>
      </w:pPr>
      <w:r>
        <w:rPr>
          <w:rFonts w:hint="eastAsia" w:ascii="宋体" w:hAnsi="宋体"/>
          <w:szCs w:val="21"/>
        </w:rPr>
        <w:t>开户行：                      开户行：</w:t>
      </w:r>
    </w:p>
    <w:p>
      <w:pPr>
        <w:adjustRightInd w:val="0"/>
        <w:snapToGrid w:val="0"/>
        <w:rPr>
          <w:rFonts w:ascii="宋体" w:hAnsi="宋体"/>
          <w:szCs w:val="21"/>
        </w:rPr>
      </w:pPr>
      <w:r>
        <w:rPr>
          <w:rFonts w:hint="eastAsia" w:ascii="宋体" w:hAnsi="宋体"/>
          <w:szCs w:val="21"/>
        </w:rPr>
        <w:t>人民币帐号：                  人民币帐号：</w:t>
      </w:r>
    </w:p>
    <w:p>
      <w:pPr>
        <w:adjustRightInd w:val="0"/>
        <w:snapToGrid w:val="0"/>
        <w:rPr>
          <w:rFonts w:ascii="宋体" w:hAnsi="宋体"/>
          <w:szCs w:val="21"/>
        </w:rPr>
      </w:pPr>
      <w:r>
        <w:rPr>
          <w:rFonts w:hint="eastAsia" w:ascii="宋体" w:hAnsi="宋体"/>
          <w:szCs w:val="21"/>
        </w:rPr>
        <w:t>联系人：                      联系人：</w:t>
      </w:r>
    </w:p>
    <w:p>
      <w:pPr>
        <w:adjustRightInd w:val="0"/>
        <w:snapToGrid w:val="0"/>
        <w:rPr>
          <w:rFonts w:ascii="宋体" w:hAnsi="宋体"/>
          <w:szCs w:val="21"/>
        </w:rPr>
      </w:pPr>
      <w:r>
        <w:rPr>
          <w:rFonts w:hint="eastAsia" w:ascii="宋体" w:hAnsi="宋体"/>
          <w:szCs w:val="21"/>
        </w:rPr>
        <w:t>电话：                        电话：</w:t>
      </w:r>
    </w:p>
    <w:p>
      <w:pPr>
        <w:adjustRightInd w:val="0"/>
        <w:snapToGrid w:val="0"/>
      </w:pPr>
      <w:r>
        <w:rPr>
          <w:rFonts w:hint="eastAsia" w:ascii="宋体" w:hAnsi="宋体"/>
          <w:szCs w:val="21"/>
        </w:rPr>
        <w:t>日期：                       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4445" t="4445" r="14605" b="14605"/>
              <wp:wrapNone/>
              <wp:docPr id="1" name="文本框 1" descr="7b0a20202020227461726765744d6f64756c65223a20226b6f6e6c696e656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rgbClr val="FFFFFF"/>
                        </a:solidFill>
                      </a:ln>
                      <a:effectLst/>
                    </wps:spPr>
                    <wps:txbx>
                      <w:txbxContent>
                        <w:p>
                          <w:pPr>
                            <w:pStyle w:val="11"/>
                            <w:rPr>
                              <w:color w:val="000000" w:themeColor="text1"/>
                            </w:rPr>
                          </w:pPr>
                          <w:r>
                            <w:rPr>
                              <w:color w:val="000000" w:themeColor="text1"/>
                            </w:rPr>
                            <w:t xml:space="preserve">第 </w:t>
                          </w:r>
                          <w:r>
                            <w:rPr>
                              <w:color w:val="000000" w:themeColor="text1"/>
                            </w:rPr>
                            <w:fldChar w:fldCharType="begin"/>
                          </w:r>
                          <w:r>
                            <w:rPr>
                              <w:color w:val="000000" w:themeColor="text1"/>
                            </w:rPr>
                            <w:instrText xml:space="preserve"> PAGE  \* MERGEFORMAT </w:instrText>
                          </w:r>
                          <w:r>
                            <w:rPr>
                              <w:color w:val="000000" w:themeColor="text1"/>
                            </w:rPr>
                            <w:fldChar w:fldCharType="separate"/>
                          </w:r>
                          <w:r>
                            <w:rPr>
                              <w:color w:val="000000" w:themeColor="text1"/>
                            </w:rPr>
                            <w:t>20</w:t>
                          </w:r>
                          <w:r>
                            <w:rPr>
                              <w:color w:val="000000" w:themeColor="text1"/>
                            </w:rPr>
                            <w:fldChar w:fldCharType="end"/>
                          </w:r>
                          <w:r>
                            <w:rPr>
                              <w:color w:val="000000" w:themeColor="text1"/>
                            </w:rPr>
                            <w:t xml:space="preserve"> 页 共 </w:t>
                          </w:r>
                          <w:r>
                            <w:fldChar w:fldCharType="begin"/>
                          </w:r>
                          <w:r>
                            <w:instrText xml:space="preserve"> NUMPAGES  \* MERGEFORMAT </w:instrText>
                          </w:r>
                          <w:r>
                            <w:fldChar w:fldCharType="separate"/>
                          </w:r>
                          <w:r>
                            <w:rPr>
                              <w:color w:val="000000" w:themeColor="text1"/>
                            </w:rPr>
                            <w:t>25</w:t>
                          </w:r>
                          <w:r>
                            <w:rPr>
                              <w:color w:val="000000" w:themeColor="text1"/>
                            </w:rPr>
                            <w:fldChar w:fldCharType="end"/>
                          </w:r>
                          <w:r>
                            <w:rPr>
                              <w:color w:val="000000" w:themeColor="text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d6f64756c65223a20226b6f6e6c696e6562756c6c6574220a7d0a" type="#_x0000_t202" style="position:absolute;left:0pt;margin-top:0pt;height:144pt;width:144pt;mso-position-horizontal:center;mso-position-horizontal-relative:margin;mso-wrap-style:none;z-index:251659264;mso-width-relative:page;mso-height-relative:page;" filled="f" stroked="t" coordsize="21600,21600" o:gfxdata="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PVlhKtEAAAAFAQAADwAAAAAAAAAB&#10;ACAAAAAiAAAAZHJzL2Rvd25yZXYueG1sUEsBAhQAFAAAAAgAh07iQDk+5K6JAgAA8QQAAA4AAAAA&#10;AAAAAQAgAAAAIAEAAGRycy9lMm9Eb2MueG1sUEsFBgAAAAAGAAYAWQEAABsGAAAAAA==&#10;">
              <v:fill on="f" focussize="0,0"/>
              <v:stroke weight="0.5pt" color="#FFFFFF" joinstyle="round"/>
              <v:imagedata o:title=""/>
              <o:lock v:ext="edit" aspectratio="f"/>
              <v:textbox inset="0mm,0mm,0mm,0mm" style="mso-fit-shape-to-text:t;">
                <w:txbxContent>
                  <w:p>
                    <w:pPr>
                      <w:pStyle w:val="11"/>
                      <w:rPr>
                        <w:color w:val="000000" w:themeColor="text1"/>
                      </w:rPr>
                    </w:pPr>
                    <w:r>
                      <w:rPr>
                        <w:color w:val="000000" w:themeColor="text1"/>
                      </w:rPr>
                      <w:t xml:space="preserve">第 </w:t>
                    </w:r>
                    <w:r>
                      <w:rPr>
                        <w:color w:val="000000" w:themeColor="text1"/>
                      </w:rPr>
                      <w:fldChar w:fldCharType="begin"/>
                    </w:r>
                    <w:r>
                      <w:rPr>
                        <w:color w:val="000000" w:themeColor="text1"/>
                      </w:rPr>
                      <w:instrText xml:space="preserve"> PAGE  \* MERGEFORMAT </w:instrText>
                    </w:r>
                    <w:r>
                      <w:rPr>
                        <w:color w:val="000000" w:themeColor="text1"/>
                      </w:rPr>
                      <w:fldChar w:fldCharType="separate"/>
                    </w:r>
                    <w:r>
                      <w:rPr>
                        <w:color w:val="000000" w:themeColor="text1"/>
                      </w:rPr>
                      <w:t>20</w:t>
                    </w:r>
                    <w:r>
                      <w:rPr>
                        <w:color w:val="000000" w:themeColor="text1"/>
                      </w:rPr>
                      <w:fldChar w:fldCharType="end"/>
                    </w:r>
                    <w:r>
                      <w:rPr>
                        <w:color w:val="000000" w:themeColor="text1"/>
                      </w:rPr>
                      <w:t xml:space="preserve"> 页 共 </w:t>
                    </w:r>
                    <w:r>
                      <w:fldChar w:fldCharType="begin"/>
                    </w:r>
                    <w:r>
                      <w:instrText xml:space="preserve"> NUMPAGES  \* MERGEFORMAT </w:instrText>
                    </w:r>
                    <w:r>
                      <w:fldChar w:fldCharType="separate"/>
                    </w:r>
                    <w:r>
                      <w:rPr>
                        <w:color w:val="000000" w:themeColor="text1"/>
                      </w:rPr>
                      <w:t>25</w:t>
                    </w:r>
                    <w:r>
                      <w:rPr>
                        <w:color w:val="000000" w:themeColor="text1"/>
                      </w:rPr>
                      <w:fldChar w:fldCharType="end"/>
                    </w:r>
                    <w:r>
                      <w:rPr>
                        <w:color w:val="000000" w:themeColor="text1"/>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A3A31"/>
    <w:multiLevelType w:val="singleLevel"/>
    <w:tmpl w:val="81FA3A31"/>
    <w:lvl w:ilvl="0" w:tentative="0">
      <w:start w:val="1"/>
      <w:numFmt w:val="decimal"/>
      <w:lvlText w:val="%1."/>
      <w:lvlJc w:val="left"/>
      <w:pPr>
        <w:ind w:left="425" w:hanging="425"/>
      </w:pPr>
      <w:rPr>
        <w:rFonts w:hint="default"/>
      </w:rPr>
    </w:lvl>
  </w:abstractNum>
  <w:abstractNum w:abstractNumId="1">
    <w:nsid w:val="8768DA3E"/>
    <w:multiLevelType w:val="singleLevel"/>
    <w:tmpl w:val="8768DA3E"/>
    <w:lvl w:ilvl="0" w:tentative="0">
      <w:start w:val="1"/>
      <w:numFmt w:val="chineseCounting"/>
      <w:suff w:val="space"/>
      <w:lvlText w:val="第%1章"/>
      <w:lvlJc w:val="left"/>
      <w:rPr>
        <w:rFonts w:hint="eastAsia"/>
      </w:rPr>
    </w:lvl>
  </w:abstractNum>
  <w:abstractNum w:abstractNumId="2">
    <w:nsid w:val="8E355F42"/>
    <w:multiLevelType w:val="singleLevel"/>
    <w:tmpl w:val="8E355F42"/>
    <w:lvl w:ilvl="0" w:tentative="0">
      <w:start w:val="1"/>
      <w:numFmt w:val="decimal"/>
      <w:lvlText w:val="%1)"/>
      <w:lvlJc w:val="left"/>
      <w:pPr>
        <w:ind w:left="425" w:hanging="425"/>
      </w:pPr>
      <w:rPr>
        <w:rFonts w:hint="default"/>
      </w:rPr>
    </w:lvl>
  </w:abstractNum>
  <w:abstractNum w:abstractNumId="3">
    <w:nsid w:val="96498777"/>
    <w:multiLevelType w:val="singleLevel"/>
    <w:tmpl w:val="96498777"/>
    <w:lvl w:ilvl="0" w:tentative="0">
      <w:start w:val="1"/>
      <w:numFmt w:val="decimal"/>
      <w:lvlText w:val="%1)"/>
      <w:lvlJc w:val="left"/>
      <w:pPr>
        <w:ind w:left="425" w:hanging="425"/>
      </w:pPr>
      <w:rPr>
        <w:rFonts w:hint="default" w:ascii="宋体" w:hAnsi="宋体" w:eastAsia="宋体" w:cs="宋体"/>
        <w:sz w:val="24"/>
        <w:szCs w:val="24"/>
      </w:rPr>
    </w:lvl>
  </w:abstractNum>
  <w:abstractNum w:abstractNumId="4">
    <w:nsid w:val="9D447C42"/>
    <w:multiLevelType w:val="singleLevel"/>
    <w:tmpl w:val="9D447C42"/>
    <w:lvl w:ilvl="0" w:tentative="0">
      <w:start w:val="1"/>
      <w:numFmt w:val="decimal"/>
      <w:lvlText w:val="%1)"/>
      <w:lvlJc w:val="left"/>
      <w:pPr>
        <w:ind w:left="425" w:hanging="425"/>
      </w:pPr>
      <w:rPr>
        <w:rFonts w:hint="default"/>
      </w:rPr>
    </w:lvl>
  </w:abstractNum>
  <w:abstractNum w:abstractNumId="5">
    <w:nsid w:val="A58C0AFC"/>
    <w:multiLevelType w:val="singleLevel"/>
    <w:tmpl w:val="A58C0AFC"/>
    <w:lvl w:ilvl="0" w:tentative="0">
      <w:start w:val="1"/>
      <w:numFmt w:val="decimal"/>
      <w:suff w:val="nothing"/>
      <w:lvlText w:val="%1）"/>
      <w:lvlJc w:val="left"/>
    </w:lvl>
  </w:abstractNum>
  <w:abstractNum w:abstractNumId="6">
    <w:nsid w:val="BAFC29D8"/>
    <w:multiLevelType w:val="singleLevel"/>
    <w:tmpl w:val="BAFC29D8"/>
    <w:lvl w:ilvl="0" w:tentative="0">
      <w:start w:val="1"/>
      <w:numFmt w:val="decimal"/>
      <w:lvlText w:val="%1)"/>
      <w:lvlJc w:val="left"/>
      <w:pPr>
        <w:ind w:left="425" w:hanging="425"/>
      </w:pPr>
      <w:rPr>
        <w:rFonts w:hint="default"/>
      </w:rPr>
    </w:lvl>
  </w:abstractNum>
  <w:abstractNum w:abstractNumId="7">
    <w:nsid w:val="DFB6C25B"/>
    <w:multiLevelType w:val="singleLevel"/>
    <w:tmpl w:val="DFB6C25B"/>
    <w:lvl w:ilvl="0" w:tentative="0">
      <w:start w:val="1"/>
      <w:numFmt w:val="decimal"/>
      <w:lvlText w:val="%1)"/>
      <w:lvlJc w:val="left"/>
      <w:pPr>
        <w:ind w:left="425" w:hanging="425"/>
      </w:pPr>
      <w:rPr>
        <w:rFonts w:hint="default"/>
      </w:rPr>
    </w:lvl>
  </w:abstractNum>
  <w:abstractNum w:abstractNumId="8">
    <w:nsid w:val="E6AB2F32"/>
    <w:multiLevelType w:val="singleLevel"/>
    <w:tmpl w:val="E6AB2F32"/>
    <w:lvl w:ilvl="0" w:tentative="0">
      <w:start w:val="1"/>
      <w:numFmt w:val="decimal"/>
      <w:lvlText w:val="%1)"/>
      <w:lvlJc w:val="left"/>
      <w:pPr>
        <w:ind w:left="425" w:hanging="425"/>
      </w:pPr>
      <w:rPr>
        <w:rFonts w:hint="default"/>
      </w:rPr>
    </w:lvl>
  </w:abstractNum>
  <w:abstractNum w:abstractNumId="9">
    <w:nsid w:val="0DA6D95A"/>
    <w:multiLevelType w:val="singleLevel"/>
    <w:tmpl w:val="0DA6D95A"/>
    <w:lvl w:ilvl="0" w:tentative="0">
      <w:start w:val="6"/>
      <w:numFmt w:val="decimal"/>
      <w:suff w:val="nothing"/>
      <w:lvlText w:val="%1、"/>
      <w:lvlJc w:val="left"/>
    </w:lvl>
  </w:abstractNum>
  <w:abstractNum w:abstractNumId="10">
    <w:nsid w:val="0E444774"/>
    <w:multiLevelType w:val="singleLevel"/>
    <w:tmpl w:val="0E444774"/>
    <w:lvl w:ilvl="0" w:tentative="0">
      <w:start w:val="1"/>
      <w:numFmt w:val="chineseCounting"/>
      <w:suff w:val="nothing"/>
      <w:lvlText w:val="%1、"/>
      <w:lvlJc w:val="left"/>
      <w:pPr>
        <w:ind w:left="-420" w:firstLine="420"/>
      </w:pPr>
      <w:rPr>
        <w:rFonts w:hint="eastAsia"/>
      </w:rPr>
    </w:lvl>
  </w:abstractNum>
  <w:abstractNum w:abstractNumId="11">
    <w:nsid w:val="15B926E8"/>
    <w:multiLevelType w:val="multilevel"/>
    <w:tmpl w:val="15B926E8"/>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2">
    <w:nsid w:val="16F4DB2B"/>
    <w:multiLevelType w:val="singleLevel"/>
    <w:tmpl w:val="16F4DB2B"/>
    <w:lvl w:ilvl="0" w:tentative="0">
      <w:start w:val="1"/>
      <w:numFmt w:val="decimal"/>
      <w:lvlText w:val="%1)"/>
      <w:lvlJc w:val="left"/>
      <w:pPr>
        <w:ind w:left="425" w:hanging="425"/>
      </w:pPr>
      <w:rPr>
        <w:rFonts w:hint="default"/>
      </w:rPr>
    </w:lvl>
  </w:abstractNum>
  <w:abstractNum w:abstractNumId="13">
    <w:nsid w:val="255356E1"/>
    <w:multiLevelType w:val="singleLevel"/>
    <w:tmpl w:val="255356E1"/>
    <w:lvl w:ilvl="0" w:tentative="0">
      <w:start w:val="1"/>
      <w:numFmt w:val="decimal"/>
      <w:lvlText w:val="%1)"/>
      <w:lvlJc w:val="left"/>
      <w:pPr>
        <w:ind w:left="425" w:hanging="425"/>
      </w:pPr>
      <w:rPr>
        <w:rFonts w:hint="default"/>
      </w:rPr>
    </w:lvl>
  </w:abstractNum>
  <w:abstractNum w:abstractNumId="14">
    <w:nsid w:val="30327E66"/>
    <w:multiLevelType w:val="singleLevel"/>
    <w:tmpl w:val="30327E66"/>
    <w:lvl w:ilvl="0" w:tentative="0">
      <w:start w:val="1"/>
      <w:numFmt w:val="chineseCounting"/>
      <w:suff w:val="nothing"/>
      <w:lvlText w:val="%1、"/>
      <w:lvlJc w:val="left"/>
      <w:pPr>
        <w:ind w:left="-420" w:firstLine="420"/>
      </w:pPr>
      <w:rPr>
        <w:rFonts w:hint="eastAsia"/>
      </w:rPr>
    </w:lvl>
  </w:abstractNum>
  <w:abstractNum w:abstractNumId="15">
    <w:nsid w:val="30C764D5"/>
    <w:multiLevelType w:val="singleLevel"/>
    <w:tmpl w:val="30C764D5"/>
    <w:lvl w:ilvl="0" w:tentative="0">
      <w:start w:val="1"/>
      <w:numFmt w:val="decimal"/>
      <w:lvlText w:val="%1)"/>
      <w:lvlJc w:val="left"/>
      <w:pPr>
        <w:ind w:left="425" w:hanging="425"/>
      </w:pPr>
      <w:rPr>
        <w:rFonts w:hint="default"/>
      </w:rPr>
    </w:lvl>
  </w:abstractNum>
  <w:abstractNum w:abstractNumId="16">
    <w:nsid w:val="3BC138B6"/>
    <w:multiLevelType w:val="singleLevel"/>
    <w:tmpl w:val="3BC138B6"/>
    <w:lvl w:ilvl="0" w:tentative="0">
      <w:start w:val="1"/>
      <w:numFmt w:val="decimal"/>
      <w:lvlText w:val="%1)"/>
      <w:lvlJc w:val="left"/>
      <w:pPr>
        <w:ind w:left="425" w:hanging="425"/>
      </w:pPr>
      <w:rPr>
        <w:rFonts w:hint="default"/>
      </w:rPr>
    </w:lvl>
  </w:abstractNum>
  <w:abstractNum w:abstractNumId="17">
    <w:nsid w:val="4490E343"/>
    <w:multiLevelType w:val="singleLevel"/>
    <w:tmpl w:val="4490E343"/>
    <w:lvl w:ilvl="0" w:tentative="0">
      <w:start w:val="1"/>
      <w:numFmt w:val="decimal"/>
      <w:lvlText w:val="%1)"/>
      <w:lvlJc w:val="left"/>
      <w:pPr>
        <w:ind w:left="425" w:hanging="425"/>
      </w:pPr>
      <w:rPr>
        <w:rFonts w:hint="default"/>
      </w:rPr>
    </w:lvl>
  </w:abstractNum>
  <w:abstractNum w:abstractNumId="18">
    <w:nsid w:val="5094573B"/>
    <w:multiLevelType w:val="singleLevel"/>
    <w:tmpl w:val="5094573B"/>
    <w:lvl w:ilvl="0" w:tentative="0">
      <w:start w:val="1"/>
      <w:numFmt w:val="decimal"/>
      <w:suff w:val="nothing"/>
      <w:lvlText w:val="%1、"/>
      <w:lvlJc w:val="left"/>
    </w:lvl>
  </w:abstractNum>
  <w:abstractNum w:abstractNumId="19">
    <w:nsid w:val="5369BF7B"/>
    <w:multiLevelType w:val="singleLevel"/>
    <w:tmpl w:val="5369BF7B"/>
    <w:lvl w:ilvl="0" w:tentative="0">
      <w:start w:val="1"/>
      <w:numFmt w:val="upperLetter"/>
      <w:lvlText w:val="%1."/>
      <w:lvlJc w:val="left"/>
      <w:pPr>
        <w:tabs>
          <w:tab w:val="left" w:pos="312"/>
        </w:tabs>
      </w:pPr>
    </w:lvl>
  </w:abstractNum>
  <w:abstractNum w:abstractNumId="20">
    <w:nsid w:val="596E755C"/>
    <w:multiLevelType w:val="singleLevel"/>
    <w:tmpl w:val="596E755C"/>
    <w:lvl w:ilvl="0" w:tentative="0">
      <w:start w:val="1"/>
      <w:numFmt w:val="decimal"/>
      <w:lvlText w:val="%1)"/>
      <w:lvlJc w:val="left"/>
      <w:pPr>
        <w:ind w:left="425" w:hanging="425"/>
      </w:pPr>
      <w:rPr>
        <w:rFonts w:hint="default"/>
      </w:rPr>
    </w:lvl>
  </w:abstractNum>
  <w:abstractNum w:abstractNumId="21">
    <w:nsid w:val="5C53E121"/>
    <w:multiLevelType w:val="singleLevel"/>
    <w:tmpl w:val="5C53E121"/>
    <w:lvl w:ilvl="0" w:tentative="0">
      <w:start w:val="1"/>
      <w:numFmt w:val="chineseCounting"/>
      <w:suff w:val="nothing"/>
      <w:lvlText w:val="%1、"/>
      <w:lvlJc w:val="left"/>
      <w:pPr>
        <w:ind w:left="-420" w:firstLine="420"/>
      </w:pPr>
      <w:rPr>
        <w:rFonts w:hint="eastAsia"/>
      </w:rPr>
    </w:lvl>
  </w:abstractNum>
  <w:abstractNum w:abstractNumId="22">
    <w:nsid w:val="5E960BE3"/>
    <w:multiLevelType w:val="singleLevel"/>
    <w:tmpl w:val="5E960BE3"/>
    <w:lvl w:ilvl="0" w:tentative="0">
      <w:start w:val="1"/>
      <w:numFmt w:val="decimal"/>
      <w:suff w:val="space"/>
      <w:lvlText w:val="%1)"/>
      <w:lvlJc w:val="left"/>
    </w:lvl>
  </w:abstractNum>
  <w:abstractNum w:abstractNumId="23">
    <w:nsid w:val="72724A93"/>
    <w:multiLevelType w:val="singleLevel"/>
    <w:tmpl w:val="72724A93"/>
    <w:lvl w:ilvl="0" w:tentative="0">
      <w:start w:val="1"/>
      <w:numFmt w:val="decimal"/>
      <w:lvlText w:val="%1."/>
      <w:lvlJc w:val="left"/>
      <w:pPr>
        <w:ind w:left="425" w:hanging="425"/>
      </w:pPr>
      <w:rPr>
        <w:rFonts w:hint="default"/>
      </w:rPr>
    </w:lvl>
  </w:abstractNum>
  <w:abstractNum w:abstractNumId="24">
    <w:nsid w:val="7DD9E1D4"/>
    <w:multiLevelType w:val="singleLevel"/>
    <w:tmpl w:val="7DD9E1D4"/>
    <w:lvl w:ilvl="0" w:tentative="0">
      <w:start w:val="1"/>
      <w:numFmt w:val="chineseCounting"/>
      <w:suff w:val="nothing"/>
      <w:lvlText w:val="%1、"/>
      <w:lvlJc w:val="left"/>
      <w:pPr>
        <w:ind w:left="0" w:firstLine="420"/>
      </w:pPr>
      <w:rPr>
        <w:rFonts w:hint="eastAsia"/>
      </w:rPr>
    </w:lvl>
  </w:abstractNum>
  <w:num w:numId="1">
    <w:abstractNumId w:val="11"/>
  </w:num>
  <w:num w:numId="2">
    <w:abstractNumId w:val="1"/>
  </w:num>
  <w:num w:numId="3">
    <w:abstractNumId w:val="3"/>
  </w:num>
  <w:num w:numId="4">
    <w:abstractNumId w:val="12"/>
  </w:num>
  <w:num w:numId="5">
    <w:abstractNumId w:val="4"/>
  </w:num>
  <w:num w:numId="6">
    <w:abstractNumId w:val="23"/>
  </w:num>
  <w:num w:numId="7">
    <w:abstractNumId w:val="5"/>
  </w:num>
  <w:num w:numId="8">
    <w:abstractNumId w:val="19"/>
  </w:num>
  <w:num w:numId="9">
    <w:abstractNumId w:val="14"/>
  </w:num>
  <w:num w:numId="10">
    <w:abstractNumId w:val="10"/>
  </w:num>
  <w:num w:numId="11">
    <w:abstractNumId w:val="17"/>
  </w:num>
  <w:num w:numId="12">
    <w:abstractNumId w:val="21"/>
  </w:num>
  <w:num w:numId="13">
    <w:abstractNumId w:val="22"/>
  </w:num>
  <w:num w:numId="14">
    <w:abstractNumId w:val="18"/>
  </w:num>
  <w:num w:numId="15">
    <w:abstractNumId w:val="16"/>
  </w:num>
  <w:num w:numId="16">
    <w:abstractNumId w:val="20"/>
  </w:num>
  <w:num w:numId="17">
    <w:abstractNumId w:val="13"/>
  </w:num>
  <w:num w:numId="18">
    <w:abstractNumId w:val="7"/>
  </w:num>
  <w:num w:numId="19">
    <w:abstractNumId w:val="6"/>
  </w:num>
  <w:num w:numId="20">
    <w:abstractNumId w:val="8"/>
  </w:num>
  <w:num w:numId="21">
    <w:abstractNumId w:val="9"/>
  </w:num>
  <w:num w:numId="22">
    <w:abstractNumId w:val="2"/>
  </w:num>
  <w:num w:numId="23">
    <w:abstractNumId w:val="15"/>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762C9"/>
    <w:rsid w:val="00073AC5"/>
    <w:rsid w:val="000858CA"/>
    <w:rsid w:val="000B3D1D"/>
    <w:rsid w:val="000D4733"/>
    <w:rsid w:val="00132B24"/>
    <w:rsid w:val="00164E33"/>
    <w:rsid w:val="00186EB7"/>
    <w:rsid w:val="001C5B7C"/>
    <w:rsid w:val="004362FF"/>
    <w:rsid w:val="004801AF"/>
    <w:rsid w:val="005010D3"/>
    <w:rsid w:val="00620104"/>
    <w:rsid w:val="00680AA8"/>
    <w:rsid w:val="006A122A"/>
    <w:rsid w:val="006B4DCB"/>
    <w:rsid w:val="00797C58"/>
    <w:rsid w:val="00841AC0"/>
    <w:rsid w:val="00932B94"/>
    <w:rsid w:val="009601D3"/>
    <w:rsid w:val="009A4D54"/>
    <w:rsid w:val="00B84139"/>
    <w:rsid w:val="00C708FC"/>
    <w:rsid w:val="00D82810"/>
    <w:rsid w:val="00DD37E6"/>
    <w:rsid w:val="00DE0609"/>
    <w:rsid w:val="00DF3A58"/>
    <w:rsid w:val="00E40832"/>
    <w:rsid w:val="00EA7D21"/>
    <w:rsid w:val="019C58D1"/>
    <w:rsid w:val="023C42E5"/>
    <w:rsid w:val="04954D1E"/>
    <w:rsid w:val="08E57EC8"/>
    <w:rsid w:val="0A341FCC"/>
    <w:rsid w:val="0AA55195"/>
    <w:rsid w:val="0C215E3F"/>
    <w:rsid w:val="0C852F84"/>
    <w:rsid w:val="0E6D4A5D"/>
    <w:rsid w:val="0F524981"/>
    <w:rsid w:val="0F9D4D69"/>
    <w:rsid w:val="10D8624F"/>
    <w:rsid w:val="114F34F9"/>
    <w:rsid w:val="11F577FE"/>
    <w:rsid w:val="126D3262"/>
    <w:rsid w:val="12A5783F"/>
    <w:rsid w:val="13A37206"/>
    <w:rsid w:val="13EF4993"/>
    <w:rsid w:val="15E53598"/>
    <w:rsid w:val="165F7670"/>
    <w:rsid w:val="16E4600C"/>
    <w:rsid w:val="16F049A4"/>
    <w:rsid w:val="17490BA4"/>
    <w:rsid w:val="17F6733C"/>
    <w:rsid w:val="1948749E"/>
    <w:rsid w:val="1AAE02D6"/>
    <w:rsid w:val="1B366DBE"/>
    <w:rsid w:val="1D2E5094"/>
    <w:rsid w:val="1DCC3A0A"/>
    <w:rsid w:val="1DF4234D"/>
    <w:rsid w:val="1E917339"/>
    <w:rsid w:val="1E920051"/>
    <w:rsid w:val="1FDC4D6D"/>
    <w:rsid w:val="1FFD555D"/>
    <w:rsid w:val="20F847B0"/>
    <w:rsid w:val="21E00CDF"/>
    <w:rsid w:val="21E53A6C"/>
    <w:rsid w:val="21FB23BE"/>
    <w:rsid w:val="237607EB"/>
    <w:rsid w:val="24583086"/>
    <w:rsid w:val="254243EA"/>
    <w:rsid w:val="262E7488"/>
    <w:rsid w:val="264D00BE"/>
    <w:rsid w:val="264F6AF5"/>
    <w:rsid w:val="26CA1AC3"/>
    <w:rsid w:val="26F8041E"/>
    <w:rsid w:val="275505FF"/>
    <w:rsid w:val="27FA65DD"/>
    <w:rsid w:val="28FA5978"/>
    <w:rsid w:val="293F2349"/>
    <w:rsid w:val="294348BA"/>
    <w:rsid w:val="29A67E1A"/>
    <w:rsid w:val="29B633B1"/>
    <w:rsid w:val="2A0B0699"/>
    <w:rsid w:val="2D384A21"/>
    <w:rsid w:val="2D620C14"/>
    <w:rsid w:val="2D6E3A98"/>
    <w:rsid w:val="2E7604A6"/>
    <w:rsid w:val="2ECC554E"/>
    <w:rsid w:val="309F04DF"/>
    <w:rsid w:val="30D00A22"/>
    <w:rsid w:val="312233DF"/>
    <w:rsid w:val="3123417C"/>
    <w:rsid w:val="31A87A36"/>
    <w:rsid w:val="325773DF"/>
    <w:rsid w:val="32AF2F98"/>
    <w:rsid w:val="32C875A2"/>
    <w:rsid w:val="33093A62"/>
    <w:rsid w:val="33174DCB"/>
    <w:rsid w:val="33421E0B"/>
    <w:rsid w:val="34755482"/>
    <w:rsid w:val="353300EB"/>
    <w:rsid w:val="37577EC9"/>
    <w:rsid w:val="375A4476"/>
    <w:rsid w:val="39474F92"/>
    <w:rsid w:val="396952FF"/>
    <w:rsid w:val="3BDF16A8"/>
    <w:rsid w:val="3CEA7689"/>
    <w:rsid w:val="3CF509D0"/>
    <w:rsid w:val="3DE90834"/>
    <w:rsid w:val="3E54144B"/>
    <w:rsid w:val="3EB41B36"/>
    <w:rsid w:val="3F684CEF"/>
    <w:rsid w:val="3FF215B6"/>
    <w:rsid w:val="401E1167"/>
    <w:rsid w:val="409F5C02"/>
    <w:rsid w:val="40BB3FCC"/>
    <w:rsid w:val="40ED6CEB"/>
    <w:rsid w:val="42355220"/>
    <w:rsid w:val="43616535"/>
    <w:rsid w:val="44163980"/>
    <w:rsid w:val="450762C9"/>
    <w:rsid w:val="452074D8"/>
    <w:rsid w:val="45AB2EB5"/>
    <w:rsid w:val="45AB6D3F"/>
    <w:rsid w:val="45EB444A"/>
    <w:rsid w:val="46976395"/>
    <w:rsid w:val="48692F7F"/>
    <w:rsid w:val="48A8315D"/>
    <w:rsid w:val="48D034EF"/>
    <w:rsid w:val="490C728D"/>
    <w:rsid w:val="490D0312"/>
    <w:rsid w:val="4B4326FA"/>
    <w:rsid w:val="4BD574A8"/>
    <w:rsid w:val="4BDD3257"/>
    <w:rsid w:val="4E9A2ABB"/>
    <w:rsid w:val="4F7B524C"/>
    <w:rsid w:val="50D01928"/>
    <w:rsid w:val="51093991"/>
    <w:rsid w:val="517536D0"/>
    <w:rsid w:val="523E2169"/>
    <w:rsid w:val="524E6ECA"/>
    <w:rsid w:val="52E94F90"/>
    <w:rsid w:val="53D102EB"/>
    <w:rsid w:val="5440343C"/>
    <w:rsid w:val="56E33653"/>
    <w:rsid w:val="57187B33"/>
    <w:rsid w:val="579555A6"/>
    <w:rsid w:val="59325F01"/>
    <w:rsid w:val="593D43DD"/>
    <w:rsid w:val="596C549A"/>
    <w:rsid w:val="5B370C3C"/>
    <w:rsid w:val="5B7E5406"/>
    <w:rsid w:val="5B955C42"/>
    <w:rsid w:val="5BEF049C"/>
    <w:rsid w:val="5CFD3CCE"/>
    <w:rsid w:val="5D2F3848"/>
    <w:rsid w:val="5DFF448C"/>
    <w:rsid w:val="5E6144E7"/>
    <w:rsid w:val="5ECD175B"/>
    <w:rsid w:val="5FA14106"/>
    <w:rsid w:val="5FE80E18"/>
    <w:rsid w:val="6083035E"/>
    <w:rsid w:val="60DE2CF1"/>
    <w:rsid w:val="615D3AA5"/>
    <w:rsid w:val="61B24535"/>
    <w:rsid w:val="621159BC"/>
    <w:rsid w:val="62B254F0"/>
    <w:rsid w:val="63574CE6"/>
    <w:rsid w:val="643371BD"/>
    <w:rsid w:val="64E7394D"/>
    <w:rsid w:val="659328E0"/>
    <w:rsid w:val="65EC35B2"/>
    <w:rsid w:val="69A434AF"/>
    <w:rsid w:val="69D021C5"/>
    <w:rsid w:val="6ADE2EAC"/>
    <w:rsid w:val="6B6E5B5A"/>
    <w:rsid w:val="6C335BDB"/>
    <w:rsid w:val="6C69580B"/>
    <w:rsid w:val="6CFC14AE"/>
    <w:rsid w:val="6D883429"/>
    <w:rsid w:val="6E714BD3"/>
    <w:rsid w:val="6EFA5709"/>
    <w:rsid w:val="705E16DB"/>
    <w:rsid w:val="74CF36E2"/>
    <w:rsid w:val="7548241F"/>
    <w:rsid w:val="7608735C"/>
    <w:rsid w:val="770D36EB"/>
    <w:rsid w:val="77C466B1"/>
    <w:rsid w:val="77D31E01"/>
    <w:rsid w:val="77D40422"/>
    <w:rsid w:val="79820E60"/>
    <w:rsid w:val="798C19D4"/>
    <w:rsid w:val="7AD67001"/>
    <w:rsid w:val="7B186B62"/>
    <w:rsid w:val="7C0B5394"/>
    <w:rsid w:val="7E1535FD"/>
    <w:rsid w:val="7FB518FE"/>
    <w:rsid w:val="7FD86C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2"/>
    <w:next w:val="4"/>
    <w:qFormat/>
    <w:uiPriority w:val="0"/>
    <w:pPr>
      <w:adjustRightInd w:val="0"/>
      <w:jc w:val="center"/>
      <w:textAlignment w:val="baseline"/>
      <w:outlineLvl w:val="1"/>
    </w:pPr>
    <w:rPr>
      <w:sz w:val="24"/>
      <w:szCs w:val="20"/>
    </w:rPr>
  </w:style>
  <w:style w:type="paragraph" w:styleId="2">
    <w:name w:val="heading 3"/>
    <w:basedOn w:val="1"/>
    <w:next w:val="1"/>
    <w:qFormat/>
    <w:uiPriority w:val="0"/>
    <w:pPr>
      <w:spacing w:before="260" w:after="260"/>
      <w:outlineLvl w:val="2"/>
    </w:pPr>
    <w:rPr>
      <w:rFonts w:ascii="宋体" w:hAnsi="宋体" w:eastAsia="宋体"/>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kern w:val="0"/>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pPr>
    <w:rPr>
      <w:kern w:val="0"/>
      <w:sz w:val="20"/>
      <w:szCs w:val="20"/>
    </w:rPr>
  </w:style>
  <w:style w:type="paragraph" w:styleId="6">
    <w:name w:val="Body Text"/>
    <w:basedOn w:val="1"/>
    <w:next w:val="1"/>
    <w:qFormat/>
    <w:uiPriority w:val="0"/>
    <w:pPr>
      <w:spacing w:line="360" w:lineRule="auto"/>
    </w:pPr>
    <w:rPr>
      <w:bCs/>
      <w:kern w:val="0"/>
      <w:sz w:val="28"/>
    </w:rPr>
  </w:style>
  <w:style w:type="paragraph" w:styleId="7">
    <w:name w:val="Document Map"/>
    <w:basedOn w:val="1"/>
    <w:link w:val="23"/>
    <w:qFormat/>
    <w:uiPriority w:val="0"/>
    <w:rPr>
      <w:rFonts w:ascii="宋体" w:eastAsia="宋体"/>
      <w:sz w:val="18"/>
      <w:szCs w:val="18"/>
    </w:rPr>
  </w:style>
  <w:style w:type="paragraph" w:styleId="8">
    <w:name w:val="annotation text"/>
    <w:basedOn w:val="1"/>
    <w:semiHidden/>
    <w:qFormat/>
    <w:uiPriority w:val="99"/>
    <w:pPr>
      <w:jc w:val="left"/>
    </w:pPr>
  </w:style>
  <w:style w:type="paragraph" w:styleId="9">
    <w:name w:val="Body Text Indent"/>
    <w:basedOn w:val="1"/>
    <w:qFormat/>
    <w:uiPriority w:val="0"/>
    <w:pPr>
      <w:spacing w:line="360" w:lineRule="auto"/>
      <w:ind w:firstLine="420" w:firstLineChars="200"/>
    </w:pPr>
    <w:rPr>
      <w:kern w:val="0"/>
      <w:sz w:val="20"/>
    </w:rPr>
  </w:style>
  <w:style w:type="paragraph" w:styleId="10">
    <w:name w:val="Balloon Text"/>
    <w:basedOn w:val="1"/>
    <w:link w:val="22"/>
    <w:qFormat/>
    <w:uiPriority w:val="0"/>
    <w:rPr>
      <w:sz w:val="18"/>
      <w:szCs w:val="18"/>
    </w:rPr>
  </w:style>
  <w:style w:type="paragraph" w:styleId="11">
    <w:name w:val="footer"/>
    <w:basedOn w:val="1"/>
    <w:unhideWhenUsed/>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Normal (Web)"/>
    <w:basedOn w:val="1"/>
    <w:qFormat/>
    <w:uiPriority w:val="99"/>
    <w:rPr>
      <w:rFonts w:ascii="Times New Roman" w:hAnsi="Times New Roman" w:eastAsia="宋体" w:cs="Times New Roman"/>
      <w:sz w:val="24"/>
    </w:rPr>
  </w:style>
  <w:style w:type="paragraph" w:styleId="14">
    <w:name w:val="Body Text First Indent 2"/>
    <w:basedOn w:val="9"/>
    <w:qFormat/>
    <w:uiPriority w:val="0"/>
    <w:pPr>
      <w:spacing w:after="120" w:line="240" w:lineRule="auto"/>
      <w:ind w:left="420" w:leftChars="200"/>
    </w:pPr>
    <w:rPr>
      <w:rFonts w:ascii="Calibri" w:hAnsi="Calibri"/>
      <w:kern w:val="2"/>
      <w:sz w:val="21"/>
    </w:rPr>
  </w:style>
  <w:style w:type="character" w:styleId="17">
    <w:name w:val="Strong"/>
    <w:qFormat/>
    <w:uiPriority w:val="22"/>
    <w:rPr>
      <w:b/>
      <w:bCs/>
    </w:rPr>
  </w:style>
  <w:style w:type="character" w:styleId="18">
    <w:name w:val="page number"/>
    <w:basedOn w:val="16"/>
    <w:qFormat/>
    <w:uiPriority w:val="0"/>
  </w:style>
  <w:style w:type="character" w:styleId="19">
    <w:name w:val="Hyperlink"/>
    <w:basedOn w:val="16"/>
    <w:qFormat/>
    <w:uiPriority w:val="0"/>
    <w:rPr>
      <w:color w:val="0000FF"/>
      <w:u w:val="single"/>
    </w:rPr>
  </w:style>
  <w:style w:type="character" w:customStyle="1" w:styleId="20">
    <w:name w:val="title"/>
    <w:basedOn w:val="16"/>
    <w:qFormat/>
    <w:uiPriority w:val="0"/>
  </w:style>
  <w:style w:type="paragraph" w:customStyle="1" w:styleId="21">
    <w:name w:val="Table Paragraph"/>
    <w:basedOn w:val="1"/>
    <w:qFormat/>
    <w:uiPriority w:val="1"/>
    <w:pPr>
      <w:autoSpaceDE w:val="0"/>
      <w:autoSpaceDN w:val="0"/>
      <w:jc w:val="left"/>
    </w:pPr>
    <w:rPr>
      <w:rFonts w:ascii="宋体" w:hAnsi="宋体" w:eastAsia="宋体" w:cs="宋体"/>
      <w:kern w:val="0"/>
      <w:sz w:val="22"/>
      <w:szCs w:val="22"/>
      <w:lang w:eastAsia="en-US"/>
    </w:rPr>
  </w:style>
  <w:style w:type="character" w:customStyle="1" w:styleId="22">
    <w:name w:val="批注框文本 Char"/>
    <w:basedOn w:val="16"/>
    <w:link w:val="10"/>
    <w:qFormat/>
    <w:uiPriority w:val="0"/>
    <w:rPr>
      <w:kern w:val="2"/>
      <w:sz w:val="18"/>
      <w:szCs w:val="18"/>
    </w:rPr>
  </w:style>
  <w:style w:type="character" w:customStyle="1" w:styleId="23">
    <w:name w:val="文档结构图 Char"/>
    <w:basedOn w:val="16"/>
    <w:link w:val="7"/>
    <w:qFormat/>
    <w:uiPriority w:val="0"/>
    <w:rPr>
      <w:rFonts w:ascii="宋体" w:eastAsia="宋体"/>
      <w:kern w:val="2"/>
      <w:sz w:val="18"/>
      <w:szCs w:val="18"/>
    </w:rPr>
  </w:style>
  <w:style w:type="paragraph" w:customStyle="1" w:styleId="24">
    <w:name w:val="列出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61B94C-BF0F-4EC4-A267-1AF2E117D88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1979</Words>
  <Characters>11285</Characters>
  <Lines>94</Lines>
  <Paragraphs>26</Paragraphs>
  <TotalTime>57</TotalTime>
  <ScaleCrop>false</ScaleCrop>
  <LinksUpToDate>false</LinksUpToDate>
  <CharactersWithSpaces>13238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2021-07-27T02:34:00Z</dcterms:created>
  <dc:creator>zf213</dc:creator>
  <cp:lastModifiedBy>zf213</cp:lastModifiedBy>
  <cp:lastPrinted>2021-08-02T01:43:00Z</cp:lastPrinted>
  <dcterms:modified xsi:type="dcterms:W3CDTF">2021-08-03T00:40:14Z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C3AF4B2EA01D4EC0BF1A79CAE48C849E</vt:lpwstr>
  </property>
</Properties>
</file>